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7B336" w14:textId="27A0E8F6" w:rsidR="00615D2B" w:rsidRPr="008F786B" w:rsidRDefault="00615D2B" w:rsidP="00615D2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Pr="008F786B">
        <w:rPr>
          <w:rFonts w:ascii="Arial" w:eastAsia="SimSun" w:hAnsi="Arial" w:cs="Times New Roman"/>
          <w:b/>
          <w:sz w:val="24"/>
          <w:szCs w:val="20"/>
        </w:rPr>
        <w:t>WG4 Meeting #113</w:t>
      </w:r>
      <w:r w:rsidRPr="008F786B">
        <w:rPr>
          <w:rFonts w:ascii="Arial" w:eastAsia="SimSun" w:hAnsi="Arial" w:cs="Times New Roman"/>
          <w:b/>
          <w:bCs/>
          <w:sz w:val="24"/>
          <w:szCs w:val="20"/>
        </w:rPr>
        <w:tab/>
      </w:r>
      <w:r w:rsidR="008B6ADA" w:rsidRPr="008B6ADA">
        <w:rPr>
          <w:rFonts w:ascii="Arial" w:eastAsia="SimSun" w:hAnsi="Arial" w:cs="Times New Roman"/>
          <w:b/>
          <w:bCs/>
          <w:sz w:val="24"/>
          <w:szCs w:val="20"/>
        </w:rPr>
        <w:t>R4-2419756</w:t>
      </w:r>
    </w:p>
    <w:p w14:paraId="0242EDAC" w14:textId="77777777" w:rsidR="00615D2B" w:rsidRPr="008F786B" w:rsidRDefault="00615D2B" w:rsidP="00615D2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F786B">
        <w:rPr>
          <w:rFonts w:ascii="Arial" w:eastAsia="SimSun" w:hAnsi="Arial" w:cs="Times New Roman"/>
          <w:b/>
          <w:sz w:val="24"/>
          <w:szCs w:val="20"/>
        </w:rPr>
        <w:t>Orlando, US, Nov 18</w:t>
      </w:r>
      <w:r>
        <w:rPr>
          <w:rFonts w:ascii="Arial" w:eastAsia="SimSun" w:hAnsi="Arial" w:cs="Times New Roman"/>
          <w:b/>
          <w:sz w:val="24"/>
          <w:szCs w:val="20"/>
        </w:rPr>
        <w:t>th</w:t>
      </w:r>
      <w:r w:rsidRPr="008F786B">
        <w:rPr>
          <w:rFonts w:ascii="Arial" w:eastAsia="SimSun" w:hAnsi="Arial" w:cs="Times New Roman"/>
          <w:b/>
          <w:sz w:val="24"/>
          <w:szCs w:val="20"/>
        </w:rPr>
        <w:t xml:space="preserve"> – Nov 22</w:t>
      </w:r>
      <w:r>
        <w:rPr>
          <w:rFonts w:ascii="Arial" w:eastAsia="SimSun" w:hAnsi="Arial" w:cs="Times New Roman"/>
          <w:b/>
          <w:sz w:val="24"/>
          <w:szCs w:val="20"/>
        </w:rPr>
        <w:t>nd</w:t>
      </w:r>
      <w:r w:rsidRPr="008F786B">
        <w:rPr>
          <w:rFonts w:ascii="Arial" w:eastAsia="SimSun" w:hAnsi="Arial" w:cs="Times New Roman"/>
          <w:b/>
          <w:sz w:val="24"/>
          <w:szCs w:val="20"/>
        </w:rPr>
        <w:t>, 2024</w:t>
      </w:r>
    </w:p>
    <w:bookmarkEnd w:id="0"/>
    <w:bookmarkEnd w:id="1"/>
    <w:p w14:paraId="4356273E" w14:textId="77777777" w:rsidR="00841BCD" w:rsidRPr="00615D2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B2C3EF4"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4B77F0C7" w14:textId="785F3A20" w:rsidR="00841BCD" w:rsidRPr="0049393F" w:rsidRDefault="00841BCD" w:rsidP="00841BCD">
      <w:pPr>
        <w:ind w:left="1985" w:hanging="1985"/>
        <w:rPr>
          <w:rFonts w:ascii="Arial" w:eastAsia="Calibri" w:hAnsi="Arial" w:cs="Arial"/>
          <w:b/>
          <w:bCs/>
          <w:sz w:val="24"/>
        </w:rPr>
      </w:pPr>
      <w:r w:rsidRPr="0049393F">
        <w:rPr>
          <w:rFonts w:ascii="Arial" w:eastAsia="Calibri" w:hAnsi="Arial" w:cs="Arial"/>
          <w:b/>
          <w:bCs/>
          <w:sz w:val="24"/>
        </w:rPr>
        <w:t>Title:</w:t>
      </w:r>
      <w:r w:rsidRPr="0049393F">
        <w:rPr>
          <w:rFonts w:ascii="Arial" w:eastAsia="Calibri" w:hAnsi="Arial" w:cs="Arial"/>
          <w:b/>
          <w:bCs/>
          <w:sz w:val="24"/>
        </w:rPr>
        <w:tab/>
      </w:r>
      <w:r w:rsidR="00E558FE" w:rsidRPr="00E558FE">
        <w:rPr>
          <w:rFonts w:ascii="Arial" w:eastAsia="Calibri" w:hAnsi="Arial" w:cs="Arial"/>
          <w:b/>
          <w:bCs/>
          <w:sz w:val="24"/>
        </w:rPr>
        <w:t>Maintenance discusison for mobility aspects in NR_NTN Rel-18</w:t>
      </w:r>
    </w:p>
    <w:p w14:paraId="535CEFD6" w14:textId="3C5C7698" w:rsidR="00841BCD" w:rsidRPr="007B7198" w:rsidRDefault="00841BCD" w:rsidP="00841BCD">
      <w:pPr>
        <w:tabs>
          <w:tab w:val="left" w:pos="1985"/>
        </w:tabs>
        <w:spacing w:after="120" w:line="240" w:lineRule="auto"/>
        <w:rPr>
          <w:rFonts w:ascii="Arial" w:eastAsia="MS Mincho" w:hAnsi="Arial" w:cs="Arial"/>
          <w:b/>
          <w:bCs/>
          <w:sz w:val="24"/>
          <w:szCs w:val="20"/>
        </w:rPr>
      </w:pPr>
      <w:r w:rsidRPr="007B7198">
        <w:rPr>
          <w:rFonts w:ascii="Arial" w:eastAsia="MS Mincho" w:hAnsi="Arial" w:cs="Arial"/>
          <w:b/>
          <w:bCs/>
          <w:sz w:val="24"/>
          <w:szCs w:val="20"/>
        </w:rPr>
        <w:t>Agenda item:</w:t>
      </w:r>
      <w:r w:rsidRPr="007B7198">
        <w:rPr>
          <w:rFonts w:ascii="Arial" w:eastAsia="MS Mincho" w:hAnsi="Arial" w:cs="Arial"/>
          <w:b/>
          <w:bCs/>
          <w:sz w:val="24"/>
          <w:szCs w:val="20"/>
        </w:rPr>
        <w:tab/>
      </w:r>
      <w:r w:rsidR="00E06776">
        <w:rPr>
          <w:rFonts w:ascii="Arial" w:eastAsia="MS Mincho" w:hAnsi="Arial" w:cs="Arial"/>
          <w:b/>
          <w:bCs/>
          <w:sz w:val="24"/>
          <w:szCs w:val="20"/>
        </w:rPr>
        <w:t>5.21.3</w:t>
      </w:r>
    </w:p>
    <w:p w14:paraId="2F69D403"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09F746D1" w14:textId="77777777" w:rsidR="00E323E9" w:rsidRPr="00614DD8" w:rsidRDefault="00E323E9" w:rsidP="00841BCD">
      <w:pPr>
        <w:tabs>
          <w:tab w:val="left" w:pos="1985"/>
        </w:tabs>
        <w:rPr>
          <w:rFonts w:ascii="Arial" w:eastAsia="Calibri" w:hAnsi="Arial" w:cs="Arial"/>
          <w:b/>
          <w:bCs/>
          <w:sz w:val="24"/>
          <w:lang w:val="en-US"/>
        </w:rPr>
      </w:pPr>
    </w:p>
    <w:p w14:paraId="6E647D97"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C24D9F3" w14:textId="5A2033D0" w:rsidR="00683C36" w:rsidRDefault="00267A59" w:rsidP="00267A59">
      <w:bookmarkStart w:id="4" w:name="_Toc116995842"/>
      <w:r>
        <w:t>In the present contribution we discuss maintenance issues related to NR_NTN_enh work item, specially when mobility scenarios are considered. The topics to be discussed in the present section are:</w:t>
      </w:r>
    </w:p>
    <w:p w14:paraId="1962561C" w14:textId="375CC84A" w:rsidR="00267A59" w:rsidRDefault="00267A59" w:rsidP="00267A59">
      <w:pPr>
        <w:pStyle w:val="ListParagraph"/>
        <w:numPr>
          <w:ilvl w:val="0"/>
          <w:numId w:val="32"/>
        </w:numPr>
      </w:pPr>
      <w:r>
        <w:t>Capabilities and interruption time for Satellite Switch</w:t>
      </w:r>
    </w:p>
    <w:p w14:paraId="44980ED6" w14:textId="00F7F3B6" w:rsidR="00267A59" w:rsidRDefault="00267A59" w:rsidP="00267A59">
      <w:pPr>
        <w:pStyle w:val="ListParagraph"/>
        <w:numPr>
          <w:ilvl w:val="0"/>
          <w:numId w:val="32"/>
        </w:numPr>
      </w:pPr>
      <w:r>
        <w:t>Time to fix GNSS when measuring a NTN cell</w:t>
      </w:r>
    </w:p>
    <w:p w14:paraId="0332D5BC" w14:textId="5C74D8AE" w:rsidR="00267A59" w:rsidRDefault="00267A59" w:rsidP="00267A59">
      <w:pPr>
        <w:pStyle w:val="ListParagraph"/>
        <w:numPr>
          <w:ilvl w:val="0"/>
          <w:numId w:val="32"/>
        </w:numPr>
      </w:pPr>
      <w:r>
        <w:t>High mobility scenarios for timing advance.</w:t>
      </w:r>
    </w:p>
    <w:p w14:paraId="01A3B67F" w14:textId="41BCAAC8" w:rsidR="00267A59" w:rsidRPr="00267A59" w:rsidRDefault="003B659E" w:rsidP="00267A59">
      <w:pPr>
        <w:pStyle w:val="RAN4H1"/>
        <w:rPr>
          <w:lang w:val="en-US"/>
        </w:rPr>
      </w:pPr>
      <w:r w:rsidRPr="00614DD8">
        <w:rPr>
          <w:lang w:val="en-US"/>
        </w:rPr>
        <w:t>Discussion</w:t>
      </w:r>
      <w:bookmarkEnd w:id="4"/>
    </w:p>
    <w:p w14:paraId="6E2B8F14" w14:textId="66043F33" w:rsidR="00683C36" w:rsidRDefault="00683C36" w:rsidP="00683C36">
      <w:pPr>
        <w:pStyle w:val="RAN4H2"/>
        <w:rPr>
          <w:lang w:val="en-US"/>
        </w:rPr>
      </w:pPr>
      <w:r>
        <w:rPr>
          <w:lang w:val="en-US"/>
        </w:rPr>
        <w:t>Scheduling restrictions during soft satellite switch</w:t>
      </w:r>
    </w:p>
    <w:p w14:paraId="32BA51EC" w14:textId="61F570D4" w:rsidR="00424A1C" w:rsidRDefault="00424A1C" w:rsidP="00424A1C">
      <w:pPr>
        <w:rPr>
          <w:lang w:val="en-US"/>
        </w:rPr>
      </w:pPr>
      <w:r>
        <w:rPr>
          <w:lang w:val="en-US"/>
        </w:rPr>
        <w:t>In RAN4 #109, it was established that scheduling restrictions are expected in when soft satellite switching is configured, depending on certain conditions</w:t>
      </w:r>
      <w:r w:rsidR="00192557">
        <w:rPr>
          <w:lang w:val="en-US"/>
        </w:rPr>
        <w:t xml:space="preserve"> </w:t>
      </w:r>
      <w:r w:rsidR="00192557">
        <w:rPr>
          <w:lang w:val="en-US"/>
        </w:rPr>
        <w:fldChar w:fldCharType="begin"/>
      </w:r>
      <w:r w:rsidR="00192557">
        <w:rPr>
          <w:lang w:val="en-US"/>
        </w:rPr>
        <w:instrText xml:space="preserve"> REF _Ref166075865 \r \h </w:instrText>
      </w:r>
      <w:r w:rsidR="00192557">
        <w:rPr>
          <w:lang w:val="en-US"/>
        </w:rPr>
      </w:r>
      <w:r w:rsidR="00192557">
        <w:rPr>
          <w:lang w:val="en-US"/>
        </w:rPr>
        <w:fldChar w:fldCharType="separate"/>
      </w:r>
      <w:r w:rsidR="00192557">
        <w:rPr>
          <w:lang w:val="en-US"/>
        </w:rPr>
        <w:t>[3]</w:t>
      </w:r>
      <w:r w:rsidR="00192557">
        <w:rPr>
          <w:lang w:val="en-US"/>
        </w:rPr>
        <w:fldChar w:fldCharType="end"/>
      </w:r>
      <w:r>
        <w:rPr>
          <w:lang w:val="en-US"/>
        </w:rPr>
        <w:t>. The conclusion of this discussion was provided as a LS-Reply to RAN2</w:t>
      </w:r>
      <w:r>
        <w:rPr>
          <w:lang w:val="en-US"/>
        </w:rPr>
        <w:fldChar w:fldCharType="begin"/>
      </w:r>
      <w:r>
        <w:rPr>
          <w:lang w:val="en-US"/>
        </w:rPr>
        <w:instrText xml:space="preserve"> REF _Ref163475821 \r \h </w:instrText>
      </w:r>
      <w:r>
        <w:rPr>
          <w:lang w:val="en-US"/>
        </w:rPr>
      </w:r>
      <w:r>
        <w:rPr>
          <w:lang w:val="en-US"/>
        </w:rPr>
        <w:fldChar w:fldCharType="separate"/>
      </w:r>
      <w:r>
        <w:rPr>
          <w:lang w:val="en-US"/>
        </w:rPr>
        <w:t>[4]</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424A1C" w14:paraId="07FDA02E" w14:textId="77777777" w:rsidTr="00CC6DDA">
        <w:tc>
          <w:tcPr>
            <w:tcW w:w="9617" w:type="dxa"/>
          </w:tcPr>
          <w:p w14:paraId="30E5A852" w14:textId="77777777" w:rsidR="00424A1C" w:rsidRPr="009F495D" w:rsidRDefault="00424A1C" w:rsidP="00424A1C">
            <w:pPr>
              <w:pStyle w:val="ListParagraph"/>
              <w:numPr>
                <w:ilvl w:val="0"/>
                <w:numId w:val="28"/>
              </w:numPr>
              <w:overflowPunct w:val="0"/>
              <w:autoSpaceDE w:val="0"/>
              <w:autoSpaceDN w:val="0"/>
              <w:adjustRightInd w:val="0"/>
              <w:spacing w:after="180" w:line="276" w:lineRule="auto"/>
              <w:ind w:left="360"/>
              <w:contextualSpacing w:val="0"/>
              <w:textAlignment w:val="baseline"/>
              <w:rPr>
                <w:szCs w:val="20"/>
                <w:lang w:eastAsia="ja-JP"/>
              </w:rPr>
            </w:pPr>
            <w:r w:rsidRPr="009F495D">
              <w:rPr>
                <w:szCs w:val="20"/>
                <w:lang w:eastAsia="ja-JP"/>
              </w:rPr>
              <w:t xml:space="preserve">If the UE starts </w:t>
            </w:r>
            <w:r w:rsidRPr="009F495D">
              <w:rPr>
                <w:rFonts w:hint="eastAsia"/>
                <w:szCs w:val="20"/>
                <w:lang w:eastAsia="zh-CN"/>
              </w:rPr>
              <w:t>synchroni</w:t>
            </w:r>
            <w:r w:rsidRPr="009F495D">
              <w:rPr>
                <w:szCs w:val="20"/>
                <w:lang w:val="en-US" w:eastAsia="zh-CN"/>
              </w:rPr>
              <w:t xml:space="preserve">zation to a different satellite from T-ServiceStart, scheduling restriction </w:t>
            </w:r>
            <w:r w:rsidRPr="009F495D">
              <w:rPr>
                <w:szCs w:val="20"/>
                <w:lang w:eastAsia="ja-JP"/>
              </w:rPr>
              <w:t>is expected, if:</w:t>
            </w:r>
          </w:p>
          <w:p w14:paraId="7577269B" w14:textId="77777777" w:rsidR="00424A1C" w:rsidRPr="009F495D" w:rsidRDefault="00424A1C" w:rsidP="00424A1C">
            <w:pPr>
              <w:pStyle w:val="ListParagraph"/>
              <w:numPr>
                <w:ilvl w:val="1"/>
                <w:numId w:val="28"/>
              </w:numPr>
              <w:overflowPunct w:val="0"/>
              <w:autoSpaceDE w:val="0"/>
              <w:autoSpaceDN w:val="0"/>
              <w:adjustRightInd w:val="0"/>
              <w:spacing w:after="180" w:line="276" w:lineRule="auto"/>
              <w:ind w:left="1080"/>
              <w:contextualSpacing w:val="0"/>
              <w:textAlignment w:val="baseline"/>
              <w:rPr>
                <w:szCs w:val="20"/>
                <w:lang w:eastAsia="ja-JP"/>
              </w:rPr>
            </w:pPr>
            <w:r w:rsidRPr="009F495D">
              <w:rPr>
                <w:szCs w:val="20"/>
                <w:lang w:eastAsia="ja-JP"/>
              </w:rPr>
              <w:t>the UE is not capable of</w:t>
            </w:r>
            <w:r w:rsidRPr="009F495D">
              <w:rPr>
                <w:i/>
                <w:iCs/>
                <w:szCs w:val="20"/>
                <w:lang w:eastAsia="ja-JP"/>
              </w:rPr>
              <w:t xml:space="preserve"> parallelMeasurementWithoutRestriction-r17, or</w:t>
            </w:r>
          </w:p>
          <w:p w14:paraId="7710F9D2" w14:textId="77777777" w:rsidR="00424A1C" w:rsidRPr="009F495D" w:rsidRDefault="00424A1C" w:rsidP="00424A1C">
            <w:pPr>
              <w:pStyle w:val="ListParagraph"/>
              <w:numPr>
                <w:ilvl w:val="1"/>
                <w:numId w:val="28"/>
              </w:numPr>
              <w:overflowPunct w:val="0"/>
              <w:autoSpaceDE w:val="0"/>
              <w:autoSpaceDN w:val="0"/>
              <w:adjustRightInd w:val="0"/>
              <w:spacing w:after="180" w:line="276" w:lineRule="auto"/>
              <w:ind w:left="1080"/>
              <w:contextualSpacing w:val="0"/>
              <w:textAlignment w:val="baseline"/>
              <w:rPr>
                <w:szCs w:val="20"/>
                <w:lang w:eastAsia="ja-JP"/>
              </w:rPr>
            </w:pPr>
            <w:r w:rsidRPr="009F495D">
              <w:rPr>
                <w:szCs w:val="20"/>
                <w:lang w:eastAsia="ja-JP"/>
              </w:rPr>
              <w:t xml:space="preserve">the UE is not capable of </w:t>
            </w:r>
            <w:r w:rsidRPr="009F495D">
              <w:rPr>
                <w:i/>
                <w:iCs/>
                <w:szCs w:val="20"/>
                <w:lang w:val="en-US" w:eastAsia="zh-CN"/>
              </w:rPr>
              <w:t xml:space="preserve">simultaneousRxDataSSB-DiffNumerology </w:t>
            </w:r>
            <w:r w:rsidRPr="009F495D">
              <w:rPr>
                <w:szCs w:val="20"/>
                <w:lang w:val="en-US" w:eastAsia="zh-CN"/>
              </w:rPr>
              <w:t>but the SSB has a different SCS than PDCCH/PDSCH</w:t>
            </w:r>
          </w:p>
          <w:p w14:paraId="614CF4AF" w14:textId="77777777" w:rsidR="00424A1C" w:rsidRPr="009F495D" w:rsidRDefault="00424A1C" w:rsidP="00424A1C">
            <w:pPr>
              <w:pStyle w:val="ListParagraph"/>
              <w:numPr>
                <w:ilvl w:val="1"/>
                <w:numId w:val="28"/>
              </w:numPr>
              <w:overflowPunct w:val="0"/>
              <w:autoSpaceDE w:val="0"/>
              <w:autoSpaceDN w:val="0"/>
              <w:adjustRightInd w:val="0"/>
              <w:spacing w:after="180" w:line="276" w:lineRule="auto"/>
              <w:ind w:left="1080"/>
              <w:contextualSpacing w:val="0"/>
              <w:textAlignment w:val="baseline"/>
              <w:rPr>
                <w:szCs w:val="20"/>
                <w:lang w:eastAsia="ja-JP"/>
              </w:rPr>
            </w:pPr>
            <w:r w:rsidRPr="009F495D">
              <w:rPr>
                <w:szCs w:val="20"/>
                <w:lang w:val="en-US" w:eastAsia="zh-CN"/>
              </w:rPr>
              <w:t>Note: RAN4 is investigating how to minimize the duration of the scheduling restriction.</w:t>
            </w:r>
          </w:p>
          <w:p w14:paraId="6053C01A" w14:textId="77777777" w:rsidR="00424A1C" w:rsidRPr="0062096E" w:rsidRDefault="00424A1C" w:rsidP="00CC6DDA"/>
        </w:tc>
      </w:tr>
    </w:tbl>
    <w:p w14:paraId="27F6CC6B" w14:textId="77777777" w:rsidR="00424A1C" w:rsidRDefault="00424A1C" w:rsidP="00424A1C">
      <w:pPr>
        <w:rPr>
          <w:lang w:val="en-US"/>
        </w:rPr>
      </w:pPr>
    </w:p>
    <w:p w14:paraId="7790BF36" w14:textId="6EFA14BE" w:rsidR="007D4BF6" w:rsidRDefault="00424A1C" w:rsidP="007D4BF6">
      <w:pPr>
        <w:rPr>
          <w:lang w:val="en-US"/>
        </w:rPr>
      </w:pPr>
      <w:r>
        <w:rPr>
          <w:lang w:val="en-US"/>
        </w:rPr>
        <w:t>In RAN4 #110, the discussion has further progressed and the following agreement was made:</w:t>
      </w:r>
    </w:p>
    <w:tbl>
      <w:tblPr>
        <w:tblStyle w:val="TableGrid"/>
        <w:tblW w:w="0" w:type="auto"/>
        <w:tblLook w:val="04A0" w:firstRow="1" w:lastRow="0" w:firstColumn="1" w:lastColumn="0" w:noHBand="0" w:noVBand="1"/>
      </w:tblPr>
      <w:tblGrid>
        <w:gridCol w:w="9617"/>
      </w:tblGrid>
      <w:tr w:rsidR="00424A1C" w14:paraId="083BF975" w14:textId="77777777" w:rsidTr="00424A1C">
        <w:tc>
          <w:tcPr>
            <w:tcW w:w="9617" w:type="dxa"/>
          </w:tcPr>
          <w:p w14:paraId="3A8D3B45" w14:textId="77777777" w:rsidR="00424A1C" w:rsidRPr="000C27C6" w:rsidRDefault="00424A1C" w:rsidP="00424A1C">
            <w:pPr>
              <w:outlineLvl w:val="2"/>
              <w:rPr>
                <w:b/>
                <w:u w:val="single"/>
                <w:lang w:eastAsia="ko-KR"/>
              </w:rPr>
            </w:pPr>
            <w:r w:rsidRPr="000C27C6">
              <w:rPr>
                <w:b/>
                <w:u w:val="single"/>
                <w:lang w:eastAsia="ko-KR"/>
              </w:rPr>
              <w:t>Issue 5-2-S: Soft’ Satellite switch (5-2-S1 and -S2 from RAN4#110 are merged)</w:t>
            </w:r>
          </w:p>
          <w:p w14:paraId="57279ABC" w14:textId="77777777" w:rsidR="00424A1C" w:rsidRPr="000C27C6" w:rsidRDefault="00424A1C" w:rsidP="00424A1C">
            <w:pPr>
              <w:spacing w:after="120" w:line="252" w:lineRule="auto"/>
              <w:ind w:firstLine="284"/>
              <w:rPr>
                <w:b/>
                <w:bCs/>
                <w:u w:val="single"/>
                <w:lang w:eastAsia="ja-JP"/>
              </w:rPr>
            </w:pPr>
            <w:bookmarkStart w:id="5" w:name="_Hlk164353494"/>
            <w:r w:rsidRPr="000C27C6">
              <w:rPr>
                <w:b/>
                <w:bCs/>
                <w:highlight w:val="green"/>
                <w:u w:val="single"/>
                <w:lang w:eastAsia="ja-JP"/>
              </w:rPr>
              <w:t>Agreement (online):</w:t>
            </w:r>
          </w:p>
          <w:bookmarkEnd w:id="5"/>
          <w:p w14:paraId="256801E1" w14:textId="77777777" w:rsidR="00424A1C" w:rsidRPr="0066755F" w:rsidRDefault="00424A1C" w:rsidP="00424A1C">
            <w:pPr>
              <w:pStyle w:val="ListParagraph"/>
              <w:numPr>
                <w:ilvl w:val="0"/>
                <w:numId w:val="28"/>
              </w:numPr>
              <w:overflowPunct w:val="0"/>
              <w:autoSpaceDE w:val="0"/>
              <w:autoSpaceDN w:val="0"/>
              <w:adjustRightInd w:val="0"/>
              <w:spacing w:after="120" w:line="276" w:lineRule="auto"/>
              <w:ind w:left="644"/>
              <w:contextualSpacing w:val="0"/>
              <w:textAlignment w:val="baseline"/>
              <w:rPr>
                <w:szCs w:val="21"/>
                <w:lang w:eastAsia="ja-JP"/>
              </w:rPr>
            </w:pPr>
            <w:r w:rsidRPr="0066755F">
              <w:rPr>
                <w:szCs w:val="21"/>
                <w:lang w:eastAsia="ja-JP"/>
              </w:rPr>
              <w:t>Scheduling restrictions over [t-ServiceStart ~ t-Service] for UE incapable of parallelMeasurementWithoutRestriction-r17 and/or [differentSCS between SSB and data]</w:t>
            </w:r>
          </w:p>
          <w:p w14:paraId="221CD794" w14:textId="77777777" w:rsidR="00424A1C" w:rsidRPr="0066755F" w:rsidRDefault="00424A1C" w:rsidP="00424A1C">
            <w:pPr>
              <w:pStyle w:val="ListParagraph"/>
              <w:numPr>
                <w:ilvl w:val="1"/>
                <w:numId w:val="28"/>
              </w:numPr>
              <w:overflowPunct w:val="0"/>
              <w:autoSpaceDE w:val="0"/>
              <w:autoSpaceDN w:val="0"/>
              <w:adjustRightInd w:val="0"/>
              <w:spacing w:after="120" w:line="276" w:lineRule="auto"/>
              <w:ind w:left="1364"/>
              <w:contextualSpacing w:val="0"/>
              <w:textAlignment w:val="baseline"/>
              <w:rPr>
                <w:szCs w:val="21"/>
                <w:lang w:eastAsia="ja-JP"/>
              </w:rPr>
            </w:pPr>
            <w:r w:rsidRPr="0066755F">
              <w:rPr>
                <w:szCs w:val="21"/>
                <w:lang w:eastAsia="ja-JP"/>
              </w:rPr>
              <w:t>Define scheduling restriction during soft satellite switch from UE perspective, i.e. scheduling restriction are allowed only during SSB occasions of the target satellite (same as 9.2C.5.3)</w:t>
            </w:r>
          </w:p>
          <w:p w14:paraId="5AD7148B" w14:textId="4786FD24" w:rsidR="00424A1C" w:rsidRDefault="00424A1C" w:rsidP="00424A1C">
            <w:pPr>
              <w:rPr>
                <w:lang w:val="en-US"/>
              </w:rPr>
            </w:pPr>
            <w:r w:rsidRPr="0066755F">
              <w:rPr>
                <w:szCs w:val="21"/>
              </w:rPr>
              <w:t xml:space="preserve">For the scheduling restriction: For RSRP measurement, </w:t>
            </w:r>
            <w:r w:rsidRPr="0066755F">
              <w:rPr>
                <w:rFonts w:hint="eastAsia"/>
                <w:szCs w:val="21"/>
              </w:rPr>
              <w:t>1</w:t>
            </w:r>
            <w:r w:rsidRPr="0066755F">
              <w:rPr>
                <w:szCs w:val="21"/>
              </w:rPr>
              <w:t xml:space="preserve"> additional symbol before and after SSB block. For RSRQ measurement, </w:t>
            </w:r>
            <w:r w:rsidRPr="0066755F">
              <w:rPr>
                <w:rFonts w:hint="eastAsia"/>
                <w:szCs w:val="21"/>
              </w:rPr>
              <w:t>1</w:t>
            </w:r>
            <w:r w:rsidRPr="0066755F">
              <w:rPr>
                <w:szCs w:val="21"/>
              </w:rPr>
              <w:t xml:space="preserve"> additional symbol before and after RSSI symbols</w:t>
            </w:r>
          </w:p>
        </w:tc>
      </w:tr>
    </w:tbl>
    <w:p w14:paraId="7770842F" w14:textId="77777777" w:rsidR="00424A1C" w:rsidRDefault="00424A1C" w:rsidP="007D4BF6">
      <w:pPr>
        <w:rPr>
          <w:lang w:val="en-US"/>
        </w:rPr>
      </w:pPr>
    </w:p>
    <w:p w14:paraId="514D2337" w14:textId="41B8EA30" w:rsidR="00424A1C" w:rsidRDefault="00424A1C" w:rsidP="00424A1C">
      <w:pPr>
        <w:overflowPunct w:val="0"/>
        <w:autoSpaceDE w:val="0"/>
        <w:autoSpaceDN w:val="0"/>
        <w:adjustRightInd w:val="0"/>
        <w:spacing w:after="120" w:line="276" w:lineRule="auto"/>
        <w:textAlignment w:val="baseline"/>
        <w:rPr>
          <w:szCs w:val="21"/>
          <w:lang w:eastAsia="ja-JP"/>
        </w:rPr>
      </w:pPr>
      <w:r>
        <w:rPr>
          <w:szCs w:val="21"/>
          <w:lang w:eastAsia="ja-JP"/>
        </w:rPr>
        <w:t xml:space="preserve">The problem, as we discussed in </w:t>
      </w:r>
      <w:r w:rsidR="00BE0502">
        <w:rPr>
          <w:szCs w:val="21"/>
          <w:lang w:eastAsia="ja-JP"/>
        </w:rPr>
        <w:fldChar w:fldCharType="begin"/>
      </w:r>
      <w:r w:rsidR="00BE0502">
        <w:rPr>
          <w:szCs w:val="21"/>
          <w:lang w:eastAsia="ja-JP"/>
        </w:rPr>
        <w:instrText xml:space="preserve"> REF _Ref166144118 \r \h </w:instrText>
      </w:r>
      <w:r w:rsidR="00BE0502">
        <w:rPr>
          <w:szCs w:val="21"/>
          <w:lang w:eastAsia="ja-JP"/>
        </w:rPr>
      </w:r>
      <w:r w:rsidR="00BE0502">
        <w:rPr>
          <w:szCs w:val="21"/>
          <w:lang w:eastAsia="ja-JP"/>
        </w:rPr>
        <w:fldChar w:fldCharType="separate"/>
      </w:r>
      <w:r w:rsidR="00BE0502">
        <w:rPr>
          <w:szCs w:val="21"/>
          <w:lang w:eastAsia="ja-JP"/>
        </w:rPr>
        <w:t>[5]</w:t>
      </w:r>
      <w:r w:rsidR="00BE0502">
        <w:rPr>
          <w:szCs w:val="21"/>
          <w:lang w:eastAsia="ja-JP"/>
        </w:rPr>
        <w:fldChar w:fldCharType="end"/>
      </w:r>
      <w:r>
        <w:rPr>
          <w:szCs w:val="21"/>
          <w:lang w:eastAsia="ja-JP"/>
        </w:rPr>
        <w:t xml:space="preserve"> is that from the network point of view, it is not possible to know when the UE is applying the scheduling restriction, there is an uncertainty of up to 11 ms in the exact time the scheduling restriction </w:t>
      </w:r>
      <w:r>
        <w:rPr>
          <w:szCs w:val="21"/>
          <w:lang w:eastAsia="ja-JP"/>
        </w:rPr>
        <w:lastRenderedPageBreak/>
        <w:t xml:space="preserve">applies. </w:t>
      </w:r>
      <w:r w:rsidR="005D231B">
        <w:rPr>
          <w:szCs w:val="21"/>
          <w:lang w:eastAsia="ja-JP"/>
        </w:rPr>
        <w:t xml:space="preserve">Currently, </w:t>
      </w:r>
      <w:r w:rsidR="00B557F7">
        <w:rPr>
          <w:szCs w:val="21"/>
          <w:lang w:eastAsia="ja-JP"/>
        </w:rPr>
        <w:t xml:space="preserve"> the full interval between t-serviceStart and t-service should be considered scheduling-restricted for the UE. </w:t>
      </w:r>
    </w:p>
    <w:p w14:paraId="39624819" w14:textId="5E328480" w:rsidR="00B557F7" w:rsidRDefault="00B557F7" w:rsidP="00424A1C">
      <w:pPr>
        <w:overflowPunct w:val="0"/>
        <w:autoSpaceDE w:val="0"/>
        <w:autoSpaceDN w:val="0"/>
        <w:adjustRightInd w:val="0"/>
        <w:spacing w:after="120" w:line="276" w:lineRule="auto"/>
        <w:textAlignment w:val="baseline"/>
        <w:rPr>
          <w:szCs w:val="21"/>
          <w:lang w:eastAsia="ja-JP"/>
        </w:rPr>
      </w:pPr>
      <w:r>
        <w:rPr>
          <w:szCs w:val="21"/>
          <w:lang w:eastAsia="ja-JP"/>
        </w:rPr>
        <w:t>To avoid even more overhead in NTN, it is important and simple to minimize the total scheduling restriction during soft switching operation</w:t>
      </w:r>
      <w:r w:rsidR="00665F71">
        <w:rPr>
          <w:szCs w:val="21"/>
          <w:lang w:eastAsia="ja-JP"/>
        </w:rPr>
        <w:t>. In this contribution we propose t</w:t>
      </w:r>
      <w:r w:rsidR="006B56A8">
        <w:rPr>
          <w:szCs w:val="21"/>
          <w:lang w:eastAsia="ja-JP"/>
        </w:rPr>
        <w:t>he following manner to alleviate this problem:</w:t>
      </w:r>
    </w:p>
    <w:p w14:paraId="463EE054" w14:textId="645B9BB2" w:rsidR="00665F71" w:rsidRPr="00665F71" w:rsidRDefault="00665F71" w:rsidP="00665F71">
      <w:pPr>
        <w:pStyle w:val="RAN4proposal"/>
        <w:rPr>
          <w:lang w:eastAsia="ja-JP"/>
        </w:rPr>
      </w:pPr>
      <w:bookmarkStart w:id="6" w:name="_Toc182001125"/>
      <w:r>
        <w:rPr>
          <w:lang w:eastAsia="ja-JP"/>
        </w:rPr>
        <w:t xml:space="preserve">A UE that supports soft satellite switching shall mandatorily support </w:t>
      </w:r>
      <w:r w:rsidRPr="00665F71">
        <w:rPr>
          <w:b w:val="0"/>
          <w:i/>
          <w:szCs w:val="21"/>
          <w:lang w:eastAsia="ja-JP"/>
        </w:rPr>
        <w:t>parallelMeasurementWithoutRestriction-r17</w:t>
      </w:r>
      <w:bookmarkEnd w:id="6"/>
    </w:p>
    <w:p w14:paraId="26F251FC" w14:textId="77777777" w:rsidR="00424A1C" w:rsidRDefault="00424A1C" w:rsidP="007D4BF6">
      <w:pPr>
        <w:rPr>
          <w:lang w:val="en-US"/>
        </w:rPr>
      </w:pPr>
    </w:p>
    <w:p w14:paraId="185A2A5B" w14:textId="77777777" w:rsidR="00267A59" w:rsidRPr="00F96DCE" w:rsidRDefault="00267A59" w:rsidP="00267A59">
      <w:pPr>
        <w:rPr>
          <w:lang w:val="en-US"/>
        </w:rPr>
      </w:pPr>
    </w:p>
    <w:p w14:paraId="5617B06F" w14:textId="11B3F6A8" w:rsidR="00267A59" w:rsidRDefault="00267A59" w:rsidP="006B56A8">
      <w:pPr>
        <w:pStyle w:val="RAN4H2"/>
        <w:rPr>
          <w:lang w:val="en-US"/>
        </w:rPr>
      </w:pPr>
      <w:r>
        <w:rPr>
          <w:lang w:val="en-US"/>
        </w:rPr>
        <w:t xml:space="preserve">On the Time-To-First-Fix </w:t>
      </w:r>
    </w:p>
    <w:p w14:paraId="65D8882F" w14:textId="698D7241" w:rsidR="00267A59" w:rsidRDefault="006B56A8" w:rsidP="00267A59">
      <w:pPr>
        <w:rPr>
          <w:lang w:val="en-US"/>
        </w:rPr>
      </w:pPr>
      <w:r>
        <w:rPr>
          <w:lang w:val="en-US"/>
        </w:rPr>
        <w:t>The following agreements were obtained related to the time-to-first fix of the GNSS position when the NTN capable UE is performing measurements on the NTN cell while served by a TN cell:</w:t>
      </w:r>
    </w:p>
    <w:tbl>
      <w:tblPr>
        <w:tblStyle w:val="TableGrid"/>
        <w:tblW w:w="0" w:type="auto"/>
        <w:tblLook w:val="04A0" w:firstRow="1" w:lastRow="0" w:firstColumn="1" w:lastColumn="0" w:noHBand="0" w:noVBand="1"/>
      </w:tblPr>
      <w:tblGrid>
        <w:gridCol w:w="9617"/>
      </w:tblGrid>
      <w:tr w:rsidR="00267A59" w14:paraId="0A18AEE6" w14:textId="77777777" w:rsidTr="00B3131A">
        <w:tc>
          <w:tcPr>
            <w:tcW w:w="9617" w:type="dxa"/>
          </w:tcPr>
          <w:p w14:paraId="3EED6890" w14:textId="77777777" w:rsidR="00267A59" w:rsidRPr="009E3E83" w:rsidRDefault="00267A59" w:rsidP="00267A59">
            <w:pPr>
              <w:pStyle w:val="ListParagraph"/>
              <w:numPr>
                <w:ilvl w:val="1"/>
                <w:numId w:val="28"/>
              </w:numPr>
              <w:overflowPunct w:val="0"/>
              <w:autoSpaceDE w:val="0"/>
              <w:autoSpaceDN w:val="0"/>
              <w:adjustRightInd w:val="0"/>
              <w:spacing w:after="180" w:line="276" w:lineRule="auto"/>
              <w:ind w:left="1800"/>
              <w:contextualSpacing w:val="0"/>
              <w:textAlignment w:val="baseline"/>
              <w:rPr>
                <w:lang w:eastAsia="ja-JP"/>
              </w:rPr>
            </w:pPr>
            <w:r w:rsidRPr="009E3E83">
              <w:rPr>
                <w:lang w:eastAsia="ja-JP"/>
              </w:rPr>
              <w:t>T_GNSS is TTFF (Time To First Fix) of which value is left undefined in RRM spec. If UE GNSS has been switched ON, T_GNSS can be assumed zero.</w:t>
            </w:r>
          </w:p>
          <w:p w14:paraId="34D12EF6" w14:textId="77777777" w:rsidR="00267A59" w:rsidRPr="009E3E83" w:rsidRDefault="00267A59" w:rsidP="00267A59">
            <w:pPr>
              <w:pStyle w:val="ListParagraph"/>
              <w:numPr>
                <w:ilvl w:val="2"/>
                <w:numId w:val="28"/>
              </w:numPr>
              <w:overflowPunct w:val="0"/>
              <w:autoSpaceDE w:val="0"/>
              <w:autoSpaceDN w:val="0"/>
              <w:adjustRightInd w:val="0"/>
              <w:spacing w:after="180" w:line="276" w:lineRule="auto"/>
              <w:ind w:left="2084"/>
              <w:contextualSpacing w:val="0"/>
              <w:textAlignment w:val="baseline"/>
              <w:rPr>
                <w:lang w:eastAsia="ja-JP"/>
              </w:rPr>
            </w:pPr>
            <w:r w:rsidRPr="009E3E83">
              <w:rPr>
                <w:lang w:eastAsia="ja-JP"/>
              </w:rPr>
              <w:t xml:space="preserve">The note below is to be implemented in RRM requirement spec: </w:t>
            </w:r>
          </w:p>
          <w:p w14:paraId="58035441" w14:textId="77777777" w:rsidR="00267A59" w:rsidRPr="009E3E83" w:rsidRDefault="00267A59" w:rsidP="00267A59">
            <w:pPr>
              <w:pStyle w:val="ListParagraph"/>
              <w:numPr>
                <w:ilvl w:val="3"/>
                <w:numId w:val="28"/>
              </w:numPr>
              <w:tabs>
                <w:tab w:val="left" w:pos="1134"/>
              </w:tabs>
              <w:overflowPunct w:val="0"/>
              <w:autoSpaceDE w:val="0"/>
              <w:autoSpaceDN w:val="0"/>
              <w:adjustRightInd w:val="0"/>
              <w:spacing w:beforeLines="50" w:before="120"/>
              <w:ind w:left="2804"/>
              <w:contextualSpacing w:val="0"/>
              <w:jc w:val="both"/>
              <w:textAlignment w:val="baseline"/>
              <w:rPr>
                <w:rFonts w:eastAsia="DengXian"/>
                <w:lang w:val="en-US" w:eastAsia="zh-CN"/>
              </w:rPr>
            </w:pPr>
            <w:r w:rsidRPr="009E3E83">
              <w:rPr>
                <w:rFonts w:eastAsia="DengXian"/>
                <w:lang w:val="en-US" w:eastAsia="zh-CN"/>
              </w:rPr>
              <w:t>the above requirement does not assume UE always performs NTN cell detection/measurement as well as TN cells.</w:t>
            </w:r>
          </w:p>
          <w:p w14:paraId="12C426FF" w14:textId="77777777" w:rsidR="00267A59" w:rsidRDefault="00267A59" w:rsidP="00B3131A">
            <w:pPr>
              <w:rPr>
                <w:lang w:val="en-US"/>
              </w:rPr>
            </w:pPr>
          </w:p>
        </w:tc>
      </w:tr>
    </w:tbl>
    <w:p w14:paraId="6FFA721D" w14:textId="77777777" w:rsidR="00267A59" w:rsidRDefault="00267A59" w:rsidP="00267A59">
      <w:pPr>
        <w:rPr>
          <w:lang w:val="en-US"/>
        </w:rPr>
      </w:pPr>
    </w:p>
    <w:p w14:paraId="75F8A417" w14:textId="2502EE44" w:rsidR="00267A59" w:rsidRDefault="00267A59" w:rsidP="00267A59">
      <w:pPr>
        <w:rPr>
          <w:lang w:val="en-US"/>
        </w:rPr>
      </w:pPr>
      <w:r>
        <w:rPr>
          <w:lang w:val="en-US"/>
        </w:rPr>
        <w:t xml:space="preserve">The discussion presented in this section was previously </w:t>
      </w:r>
      <w:r w:rsidR="006B56A8">
        <w:rPr>
          <w:lang w:val="en-US"/>
        </w:rPr>
        <w:t>presented</w:t>
      </w:r>
      <w:r>
        <w:rPr>
          <w:lang w:val="en-US"/>
        </w:rPr>
        <w:t xml:space="preserve"> in our contribution to RAN4 #109, but we still see it as fit and relevant for the current state of agreements.</w:t>
      </w:r>
    </w:p>
    <w:p w14:paraId="5EBBF360" w14:textId="2DDFAB7F" w:rsidR="00267A59" w:rsidRDefault="00267A59" w:rsidP="00267A59">
      <w:r>
        <w:t>Previous understanding in RAN4 was that, due to the doppler and time variation in NTN, the usage of satellite assistance information for NGSO measurements was paramount, such that the UE could apply the right doppler and SMTC corrections</w:t>
      </w:r>
      <w:r w:rsidR="000867E9">
        <w:t xml:space="preserve"> to perform accurate measurements</w:t>
      </w:r>
      <w:r>
        <w:t xml:space="preserve">. However, this is not assumed as a precondition for GSO.  </w:t>
      </w:r>
    </w:p>
    <w:p w14:paraId="6B748ECD" w14:textId="77777777" w:rsidR="00267A59" w:rsidRDefault="00267A59" w:rsidP="00267A59">
      <w:r>
        <w:t xml:space="preserve">Therefore, if GNSS is necessary for the NGSO measurements to be performed it needs to be switched on when measurements are performed. We propose to make mandatory the UE to switch GNSS on when measuring a higher priority frequency layer in NTN or a lower priority layer after not finding other suitable cell for more than a given period of time. Hence, we propose: </w:t>
      </w:r>
    </w:p>
    <w:p w14:paraId="175D131D" w14:textId="752C3D00" w:rsidR="00267A59" w:rsidRDefault="00267A59" w:rsidP="00267A59">
      <w:pPr>
        <w:pStyle w:val="RAN4proposal"/>
      </w:pPr>
      <w:bookmarkStart w:id="7" w:name="_Toc159273103"/>
      <w:bookmarkStart w:id="8" w:name="_Toc163499296"/>
      <w:bookmarkStart w:id="9" w:name="_Toc182001126"/>
      <w:r>
        <w:t>In NGSO scenarios, GNSS shall be on during measurement procedures for cell reselection, if the NTN capable UE is configured to measure a NTN frequency layer with higher priority.</w:t>
      </w:r>
      <w:bookmarkEnd w:id="7"/>
      <w:bookmarkEnd w:id="8"/>
      <w:bookmarkEnd w:id="9"/>
      <w:r>
        <w:t xml:space="preserve"> </w:t>
      </w:r>
      <w:bookmarkStart w:id="10" w:name="_Toc116995849"/>
    </w:p>
    <w:p w14:paraId="5C384F5B" w14:textId="77777777" w:rsidR="00267A59" w:rsidRDefault="00267A59" w:rsidP="00267A59"/>
    <w:p w14:paraId="2B2E8BB3" w14:textId="4C21D0AC" w:rsidR="006B56A8" w:rsidRDefault="006B56A8" w:rsidP="006B56A8">
      <w:pPr>
        <w:pStyle w:val="RAN4H2"/>
      </w:pPr>
      <w:r>
        <w:t>High mobility scenarios for timing advance</w:t>
      </w:r>
    </w:p>
    <w:p w14:paraId="0824B800" w14:textId="6912F64B" w:rsidR="006B56A8" w:rsidRDefault="000867E9" w:rsidP="006B56A8">
      <w:r>
        <w:t>In RAN4 specifications, we have agreed that UEs are allowed to perform autonomous adjustment of timing advance, in order to keep fine tracking of the uplink transmission timing. However, as discussed during Release 17, it was important to consider that there is</w:t>
      </w:r>
      <w:r w:rsidR="006B56A8">
        <w:t xml:space="preserve"> some uncertainty related to the physical information estimated by the UE, in special the UE position estimated by GNSS, which </w:t>
      </w:r>
      <w:r w:rsidR="006B56A8" w:rsidRPr="000867E9">
        <w:rPr>
          <w:u w:val="single"/>
        </w:rPr>
        <w:t>might fluctuate over time</w:t>
      </w:r>
      <w:r w:rsidR="006B56A8">
        <w:t xml:space="preserve"> due </w:t>
      </w:r>
      <w:r>
        <w:t xml:space="preserve">to </w:t>
      </w:r>
      <w:r w:rsidR="006B56A8">
        <w:t xml:space="preserve">variations on UE actual position or in the signals used to estimate the GNSS position. Therefore, in order to prevent a multitude of “back and forth” adjustments, </w:t>
      </w:r>
      <w:r w:rsidR="00BE4E6F">
        <w:t>we have agreed in RAN4 to introduce s</w:t>
      </w:r>
      <w:r w:rsidR="006B56A8">
        <w:t>ome requirements over the UE autonomous adjustments:</w:t>
      </w:r>
    </w:p>
    <w:p w14:paraId="095B4E8C" w14:textId="0B470DE6" w:rsidR="006B56A8" w:rsidRDefault="006B56A8" w:rsidP="006B56A8">
      <w:pPr>
        <w:rPr>
          <w:rFonts w:cstheme="minorHAnsi"/>
        </w:rPr>
      </w:pPr>
    </w:p>
    <w:tbl>
      <w:tblPr>
        <w:tblStyle w:val="TableGrid"/>
        <w:tblW w:w="0" w:type="auto"/>
        <w:tblLook w:val="04A0" w:firstRow="1" w:lastRow="0" w:firstColumn="1" w:lastColumn="0" w:noHBand="0" w:noVBand="1"/>
      </w:tblPr>
      <w:tblGrid>
        <w:gridCol w:w="9617"/>
      </w:tblGrid>
      <w:tr w:rsidR="006B56A8" w14:paraId="30B8A0CE" w14:textId="77777777" w:rsidTr="00B3131A">
        <w:tc>
          <w:tcPr>
            <w:tcW w:w="9628" w:type="dxa"/>
          </w:tcPr>
          <w:p w14:paraId="0EE10CCE" w14:textId="77777777" w:rsidR="006B56A8" w:rsidRPr="006538D7" w:rsidRDefault="006B56A8" w:rsidP="00B3131A">
            <w:pPr>
              <w:rPr>
                <w:rFonts w:cstheme="minorHAnsi"/>
                <w:b/>
                <w:bCs/>
                <w:u w:val="single"/>
              </w:rPr>
            </w:pPr>
            <w:r w:rsidRPr="006538D7">
              <w:rPr>
                <w:rFonts w:cstheme="minorHAnsi"/>
                <w:b/>
                <w:bCs/>
                <w:u w:val="single"/>
              </w:rPr>
              <w:t>7.1C.2.1</w:t>
            </w:r>
            <w:r w:rsidRPr="006538D7">
              <w:rPr>
                <w:rFonts w:cstheme="minorHAnsi"/>
                <w:b/>
                <w:bCs/>
                <w:u w:val="single"/>
              </w:rPr>
              <w:tab/>
              <w:t>Gradual timing adjustment</w:t>
            </w:r>
          </w:p>
          <w:p w14:paraId="6AB4FA4C" w14:textId="77777777" w:rsidR="006B56A8" w:rsidRPr="006538D7" w:rsidRDefault="006B56A8" w:rsidP="00B3131A">
            <w:pPr>
              <w:rPr>
                <w:rFonts w:cstheme="minorHAnsi"/>
              </w:rPr>
            </w:pPr>
            <w:r w:rsidRPr="006538D7">
              <w:rPr>
                <w:rFonts w:cstheme="minorHAnsi"/>
              </w:rPr>
              <w:t xml:space="preserve">When the transmission timing error between the UE and the reference timing exceeds </w:t>
            </w:r>
            <w:r w:rsidRPr="006538D7">
              <w:rPr>
                <w:rFonts w:cstheme="minorHAnsi"/>
              </w:rPr>
              <w:sym w:font="Symbol" w:char="F0B1"/>
            </w:r>
            <w:r w:rsidRPr="006538D7">
              <w:rPr>
                <w:rFonts w:cstheme="minorHAnsi"/>
              </w:rPr>
              <w:t>T</w:t>
            </w:r>
            <w:r w:rsidRPr="006538D7">
              <w:rPr>
                <w:rFonts w:cstheme="minorHAnsi"/>
                <w:vertAlign w:val="subscript"/>
              </w:rPr>
              <w:t>e_NTN</w:t>
            </w:r>
            <w:r w:rsidRPr="006538D7">
              <w:rPr>
                <w:rFonts w:cstheme="minorHAnsi"/>
              </w:rPr>
              <w:t xml:space="preserve"> then the UE shall adjust the timing such that timing error is to within </w:t>
            </w:r>
            <w:r w:rsidRPr="006538D7">
              <w:rPr>
                <w:rFonts w:cstheme="minorHAnsi"/>
              </w:rPr>
              <w:sym w:font="Symbol" w:char="F0B1"/>
            </w:r>
            <w:r w:rsidRPr="006538D7">
              <w:rPr>
                <w:rFonts w:cstheme="minorHAnsi"/>
              </w:rPr>
              <w:t>T</w:t>
            </w:r>
            <w:r w:rsidRPr="006538D7">
              <w:rPr>
                <w:rFonts w:cstheme="minorHAnsi"/>
                <w:vertAlign w:val="subscript"/>
              </w:rPr>
              <w:t>e_NTN</w:t>
            </w:r>
            <w:r w:rsidRPr="006538D7">
              <w:rPr>
                <w:rFonts w:cstheme="minorHAnsi"/>
              </w:rPr>
              <w:t xml:space="preserve">. The reference timing shall be </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N</m:t>
                      </m:r>
                    </m:e>
                    <m:sub>
                      <m:r>
                        <m:rPr>
                          <m:nor/>
                        </m:rPr>
                        <w:rPr>
                          <w:rFonts w:cstheme="minorHAnsi"/>
                        </w:rPr>
                        <m:t>TA</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m:rPr>
                          <m:nor/>
                        </m:rPr>
                        <w:rPr>
                          <w:rFonts w:cstheme="minorHAnsi"/>
                        </w:rPr>
                        <m:t>TA-offset</m:t>
                      </m:r>
                    </m:sub>
                  </m:sSub>
                  <m:r>
                    <w:rPr>
                      <w:rFonts w:ascii="Cambria Math" w:hAnsi="Cambria Math" w:cstheme="minorHAnsi"/>
                    </w:rPr>
                    <m:t>+</m:t>
                  </m:r>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TA,adj</m:t>
                      </m:r>
                    </m:sub>
                    <m:sup>
                      <m:r>
                        <m:rPr>
                          <m:nor/>
                        </m:rPr>
                        <w:rPr>
                          <w:rFonts w:cstheme="minorHAnsi"/>
                        </w:rPr>
                        <m:t>common</m:t>
                      </m:r>
                    </m:sup>
                  </m:sSubSup>
                  <m:r>
                    <w:rPr>
                      <w:rFonts w:ascii="Cambria Math" w:hAnsi="Cambria Math" w:cstheme="minorHAnsi"/>
                    </w:rPr>
                    <m:t>+</m:t>
                  </m:r>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TA,adj</m:t>
                      </m:r>
                    </m:sub>
                    <m:sup>
                      <m:r>
                        <m:rPr>
                          <m:nor/>
                        </m:rPr>
                        <w:rPr>
                          <w:rFonts w:cstheme="minorHAnsi"/>
                        </w:rPr>
                        <m:t>UE</m:t>
                      </m:r>
                    </m:sup>
                  </m:sSubSup>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m:rPr>
                      <m:nor/>
                    </m:rPr>
                    <w:rPr>
                      <w:rFonts w:cstheme="minorHAnsi"/>
                    </w:rPr>
                    <m:t>c</m:t>
                  </m:r>
                </m:sub>
              </m:sSub>
            </m:oMath>
            <w:r w:rsidRPr="006538D7">
              <w:rPr>
                <w:rFonts w:cstheme="minorHAnsi"/>
              </w:rPr>
              <w:t xml:space="preserve"> before the downlink timing of the reference cell. All adjustments made to the UE uplink timing shall follow these rules:</w:t>
            </w:r>
          </w:p>
          <w:p w14:paraId="3BF3300B" w14:textId="77777777" w:rsidR="006B56A8" w:rsidRPr="006538D7" w:rsidRDefault="006B56A8" w:rsidP="00B3131A">
            <w:pPr>
              <w:rPr>
                <w:rFonts w:cstheme="minorHAnsi"/>
              </w:rPr>
            </w:pPr>
            <w:r w:rsidRPr="006538D7">
              <w:rPr>
                <w:rFonts w:cstheme="minorHAnsi"/>
              </w:rPr>
              <w:lastRenderedPageBreak/>
              <w:t>1)</w:t>
            </w:r>
            <w:r w:rsidRPr="006538D7">
              <w:rPr>
                <w:rFonts w:cstheme="minorHAnsi"/>
              </w:rPr>
              <w:tab/>
              <w:t xml:space="preserve">The maximum amount of the magnitude of the timing change, apart from a change of </w:t>
            </w:r>
            <m:oMath>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TA,adj</m:t>
                  </m:r>
                </m:sub>
                <m:sup>
                  <m:r>
                    <m:rPr>
                      <m:nor/>
                    </m:rPr>
                    <w:rPr>
                      <w:rFonts w:cstheme="minorHAnsi"/>
                    </w:rPr>
                    <m:t>UE</m:t>
                  </m:r>
                </m:sup>
              </m:sSubSup>
            </m:oMath>
            <w:r w:rsidRPr="006538D7">
              <w:rPr>
                <w:rFonts w:cstheme="minorHAnsi"/>
              </w:rPr>
              <w:t xml:space="preserve"> </w:t>
            </w:r>
            <w:r w:rsidRPr="006538D7">
              <w:rPr>
                <w:rFonts w:cstheme="minorHAnsi"/>
                <w:highlight w:val="yellow"/>
              </w:rPr>
              <w:t>due to satellite position update</w:t>
            </w:r>
            <w:r w:rsidRPr="006538D7">
              <w:rPr>
                <w:rFonts w:cstheme="minorHAnsi"/>
              </w:rPr>
              <w:t xml:space="preserve"> and </w:t>
            </w:r>
            <m:oMath>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TA,adj</m:t>
                  </m:r>
                </m:sub>
                <m:sup>
                  <m:r>
                    <m:rPr>
                      <m:nor/>
                    </m:rPr>
                    <w:rPr>
                      <w:rFonts w:cstheme="minorHAnsi"/>
                    </w:rPr>
                    <m:t>common</m:t>
                  </m:r>
                </m:sup>
              </m:sSubSup>
            </m:oMath>
            <w:r w:rsidRPr="006538D7">
              <w:rPr>
                <w:rFonts w:cstheme="minorHAnsi"/>
              </w:rPr>
              <w:t xml:space="preserve"> between the previous transmission and the current transmission, in one adjustment shall be T</w:t>
            </w:r>
            <w:r w:rsidRPr="006538D7">
              <w:rPr>
                <w:rFonts w:cstheme="minorHAnsi"/>
                <w:vertAlign w:val="subscript"/>
              </w:rPr>
              <w:t>q_NTN</w:t>
            </w:r>
            <w:r w:rsidRPr="006538D7">
              <w:rPr>
                <w:rFonts w:cstheme="minorHAnsi"/>
              </w:rPr>
              <w:t>.</w:t>
            </w:r>
          </w:p>
          <w:p w14:paraId="7B86E830" w14:textId="77777777" w:rsidR="006B56A8" w:rsidRPr="006538D7" w:rsidRDefault="006B56A8" w:rsidP="00B3131A">
            <w:pPr>
              <w:rPr>
                <w:rFonts w:cstheme="minorHAnsi"/>
              </w:rPr>
            </w:pPr>
            <w:r w:rsidRPr="006538D7">
              <w:rPr>
                <w:rFonts w:cstheme="minorHAnsi"/>
              </w:rPr>
              <w:t>2)</w:t>
            </w:r>
            <w:r w:rsidRPr="006538D7">
              <w:rPr>
                <w:rFonts w:cstheme="minorHAnsi"/>
              </w:rPr>
              <w:tab/>
              <w:t xml:space="preserve">The minimum aggregate adjustment rate, apart from a change of </w:t>
            </w:r>
            <m:oMath>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TA,adj</m:t>
                  </m:r>
                </m:sub>
                <m:sup>
                  <m:r>
                    <m:rPr>
                      <m:nor/>
                    </m:rPr>
                    <w:rPr>
                      <w:rFonts w:cstheme="minorHAnsi"/>
                    </w:rPr>
                    <m:t>UE</m:t>
                  </m:r>
                </m:sup>
              </m:sSubSup>
            </m:oMath>
            <w:r w:rsidRPr="006538D7">
              <w:rPr>
                <w:rFonts w:cstheme="minorHAnsi"/>
              </w:rPr>
              <w:t xml:space="preserve"> </w:t>
            </w:r>
            <w:r w:rsidRPr="006538D7">
              <w:rPr>
                <w:rFonts w:cstheme="minorHAnsi"/>
                <w:highlight w:val="yellow"/>
              </w:rPr>
              <w:t>due to satellite position update</w:t>
            </w:r>
            <w:r w:rsidRPr="006538D7">
              <w:rPr>
                <w:rFonts w:cstheme="minorHAnsi"/>
              </w:rPr>
              <w:t xml:space="preserve"> and </w:t>
            </w:r>
            <m:oMath>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TA,adj</m:t>
                  </m:r>
                </m:sub>
                <m:sup>
                  <m:r>
                    <m:rPr>
                      <m:nor/>
                    </m:rPr>
                    <w:rPr>
                      <w:rFonts w:cstheme="minorHAnsi"/>
                    </w:rPr>
                    <m:t>common</m:t>
                  </m:r>
                </m:sup>
              </m:sSubSup>
            </m:oMath>
            <w:r w:rsidRPr="006538D7">
              <w:rPr>
                <w:rFonts w:cstheme="minorHAnsi"/>
              </w:rPr>
              <w:t xml:space="preserve"> during the last one second, shall be T</w:t>
            </w:r>
            <w:r w:rsidRPr="006538D7">
              <w:rPr>
                <w:rFonts w:cstheme="minorHAnsi"/>
                <w:vertAlign w:val="subscript"/>
              </w:rPr>
              <w:t>p_NTN</w:t>
            </w:r>
            <w:r w:rsidRPr="006538D7">
              <w:rPr>
                <w:rFonts w:cstheme="minorHAnsi"/>
              </w:rPr>
              <w:t xml:space="preserve"> per second.</w:t>
            </w:r>
          </w:p>
          <w:p w14:paraId="0186839C" w14:textId="77777777" w:rsidR="006B56A8" w:rsidRPr="006538D7" w:rsidRDefault="006B56A8" w:rsidP="00B3131A">
            <w:pPr>
              <w:rPr>
                <w:rFonts w:cstheme="minorHAnsi"/>
              </w:rPr>
            </w:pPr>
            <w:r w:rsidRPr="006538D7">
              <w:rPr>
                <w:rFonts w:cstheme="minorHAnsi"/>
              </w:rPr>
              <w:t>3)</w:t>
            </w:r>
            <w:r w:rsidRPr="006538D7">
              <w:rPr>
                <w:rFonts w:cstheme="minorHAnsi"/>
              </w:rPr>
              <w:tab/>
              <w:t xml:space="preserve">The maximum aggregate adjustment rate, apart from a change of </w:t>
            </w:r>
            <m:oMath>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TA,adj</m:t>
                  </m:r>
                </m:sub>
                <m:sup>
                  <m:r>
                    <m:rPr>
                      <m:nor/>
                    </m:rPr>
                    <w:rPr>
                      <w:rFonts w:cstheme="minorHAnsi"/>
                    </w:rPr>
                    <m:t>UE</m:t>
                  </m:r>
                </m:sup>
              </m:sSubSup>
            </m:oMath>
            <w:r w:rsidRPr="006538D7">
              <w:rPr>
                <w:rFonts w:cstheme="minorHAnsi"/>
              </w:rPr>
              <w:t xml:space="preserve"> </w:t>
            </w:r>
            <w:r w:rsidRPr="006538D7">
              <w:rPr>
                <w:rFonts w:cstheme="minorHAnsi"/>
                <w:highlight w:val="yellow"/>
              </w:rPr>
              <w:t>due to satellite position update</w:t>
            </w:r>
            <w:r w:rsidRPr="006538D7">
              <w:rPr>
                <w:rFonts w:cstheme="minorHAnsi"/>
              </w:rPr>
              <w:t xml:space="preserve"> and </w:t>
            </w:r>
            <m:oMath>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TA,adj</m:t>
                  </m:r>
                </m:sub>
                <m:sup>
                  <m:r>
                    <m:rPr>
                      <m:nor/>
                    </m:rPr>
                    <w:rPr>
                      <w:rFonts w:cstheme="minorHAnsi"/>
                    </w:rPr>
                    <m:t>common</m:t>
                  </m:r>
                </m:sup>
              </m:sSubSup>
            </m:oMath>
            <w:r w:rsidRPr="006538D7">
              <w:rPr>
                <w:rFonts w:cstheme="minorHAnsi"/>
              </w:rPr>
              <w:t xml:space="preserve"> during the last 200ms, shall be T</w:t>
            </w:r>
            <w:r w:rsidRPr="006538D7">
              <w:rPr>
                <w:rFonts w:cstheme="minorHAnsi"/>
                <w:vertAlign w:val="subscript"/>
              </w:rPr>
              <w:t>q_NTN</w:t>
            </w:r>
            <w:r w:rsidRPr="006538D7">
              <w:rPr>
                <w:rFonts w:cstheme="minorHAnsi"/>
              </w:rPr>
              <w:t xml:space="preserve"> per 200 ms.</w:t>
            </w:r>
          </w:p>
          <w:p w14:paraId="2073A90D" w14:textId="77777777" w:rsidR="006B56A8" w:rsidRPr="006538D7" w:rsidRDefault="006B56A8" w:rsidP="00B3131A">
            <w:pPr>
              <w:rPr>
                <w:rFonts w:cstheme="minorHAnsi"/>
              </w:rPr>
            </w:pPr>
            <w:r w:rsidRPr="006538D7">
              <w:rPr>
                <w:rFonts w:cstheme="minorHAnsi"/>
              </w:rPr>
              <w:t>Where, the maximum autonomous time adjustment step T</w:t>
            </w:r>
            <w:r w:rsidRPr="006538D7">
              <w:rPr>
                <w:rFonts w:cstheme="minorHAnsi"/>
                <w:vertAlign w:val="subscript"/>
              </w:rPr>
              <w:t>q_NTN</w:t>
            </w:r>
            <w:r w:rsidRPr="006538D7">
              <w:rPr>
                <w:rFonts w:cstheme="minorHAnsi"/>
              </w:rPr>
              <w:t xml:space="preserve"> and the aggregate adjustment rate T</w:t>
            </w:r>
            <w:r w:rsidRPr="006538D7">
              <w:rPr>
                <w:rFonts w:cstheme="minorHAnsi"/>
                <w:vertAlign w:val="subscript"/>
              </w:rPr>
              <w:t>p_NTN</w:t>
            </w:r>
            <w:r w:rsidRPr="006538D7">
              <w:rPr>
                <w:rFonts w:cstheme="minorHAnsi"/>
              </w:rPr>
              <w:t xml:space="preserve"> are specified in Table 7.1C.2.1-1.</w:t>
            </w:r>
          </w:p>
          <w:p w14:paraId="1029261A" w14:textId="77777777" w:rsidR="006B56A8" w:rsidRPr="005B4D4F" w:rsidRDefault="006B56A8" w:rsidP="00B3131A">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6"/>
              <w:gridCol w:w="1982"/>
              <w:gridCol w:w="1946"/>
              <w:gridCol w:w="1948"/>
            </w:tblGrid>
            <w:tr w:rsidR="006B56A8" w:rsidRPr="005B4D4F" w14:paraId="08192DB6" w14:textId="77777777" w:rsidTr="00B3131A">
              <w:trPr>
                <w:cantSplit/>
                <w:jc w:val="center"/>
              </w:trPr>
              <w:tc>
                <w:tcPr>
                  <w:tcW w:w="1205" w:type="pct"/>
                  <w:vAlign w:val="center"/>
                </w:tcPr>
                <w:p w14:paraId="15A77247" w14:textId="77777777" w:rsidR="006B56A8" w:rsidRPr="005B4D4F" w:rsidRDefault="006B56A8" w:rsidP="00B3131A">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53D7B9D0" w14:textId="77777777" w:rsidR="006B56A8" w:rsidRPr="005B4D4F" w:rsidRDefault="006B56A8" w:rsidP="00B3131A">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1600429C" w14:textId="77777777" w:rsidR="006B56A8" w:rsidRPr="005B4D4F" w:rsidRDefault="006B56A8" w:rsidP="00B3131A">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230814F8" w14:textId="77777777" w:rsidR="006B56A8" w:rsidRPr="005B4D4F" w:rsidRDefault="006B56A8" w:rsidP="00B3131A">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6B56A8" w:rsidRPr="005B4D4F" w14:paraId="053F57C2" w14:textId="77777777" w:rsidTr="00B3131A">
              <w:trPr>
                <w:cantSplit/>
                <w:trHeight w:val="134"/>
                <w:jc w:val="center"/>
              </w:trPr>
              <w:tc>
                <w:tcPr>
                  <w:tcW w:w="1205" w:type="pct"/>
                  <w:tcBorders>
                    <w:bottom w:val="nil"/>
                  </w:tcBorders>
                  <w:vAlign w:val="center"/>
                </w:tcPr>
                <w:p w14:paraId="48FB5AC3" w14:textId="77777777" w:rsidR="006B56A8" w:rsidRPr="005B4D4F" w:rsidRDefault="006B56A8" w:rsidP="00B3131A">
                  <w:pPr>
                    <w:keepNext/>
                    <w:keepLines/>
                    <w:spacing w:after="0"/>
                    <w:jc w:val="center"/>
                    <w:rPr>
                      <w:rFonts w:ascii="Arial" w:eastAsia="SimSun" w:hAnsi="Arial"/>
                      <w:sz w:val="18"/>
                    </w:rPr>
                  </w:pPr>
                  <w:r w:rsidRPr="0015460F">
                    <w:rPr>
                      <w:rFonts w:ascii="Arial" w:eastAsia="SimSun" w:hAnsi="Arial"/>
                      <w:sz w:val="18"/>
                    </w:rPr>
                    <w:t>FR1-NTN</w:t>
                  </w:r>
                </w:p>
              </w:tc>
              <w:tc>
                <w:tcPr>
                  <w:tcW w:w="1280" w:type="pct"/>
                </w:tcPr>
                <w:p w14:paraId="6DD5B4CB" w14:textId="77777777" w:rsidR="006B56A8" w:rsidRPr="005B4D4F" w:rsidRDefault="006B56A8" w:rsidP="00B3131A">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3A85B44D" w14:textId="77777777" w:rsidR="006B56A8" w:rsidRPr="005B4D4F" w:rsidRDefault="006B56A8" w:rsidP="00B3131A">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3662BED2" w14:textId="77777777" w:rsidR="006B56A8" w:rsidRPr="005B4D4F" w:rsidRDefault="006B56A8" w:rsidP="00B3131A">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6B56A8" w:rsidRPr="005B4D4F" w14:paraId="1B2A58E5" w14:textId="77777777" w:rsidTr="00B3131A">
              <w:trPr>
                <w:cantSplit/>
                <w:jc w:val="center"/>
              </w:trPr>
              <w:tc>
                <w:tcPr>
                  <w:tcW w:w="1205" w:type="pct"/>
                  <w:tcBorders>
                    <w:top w:val="nil"/>
                    <w:bottom w:val="nil"/>
                  </w:tcBorders>
                  <w:vAlign w:val="center"/>
                </w:tcPr>
                <w:p w14:paraId="6A165C4E" w14:textId="77777777" w:rsidR="006B56A8" w:rsidRPr="005B4D4F" w:rsidRDefault="006B56A8" w:rsidP="00B3131A">
                  <w:pPr>
                    <w:keepNext/>
                    <w:keepLines/>
                    <w:spacing w:after="0"/>
                    <w:jc w:val="center"/>
                    <w:rPr>
                      <w:rFonts w:ascii="Arial" w:eastAsia="SimSun" w:hAnsi="Arial"/>
                      <w:sz w:val="18"/>
                    </w:rPr>
                  </w:pPr>
                </w:p>
              </w:tc>
              <w:tc>
                <w:tcPr>
                  <w:tcW w:w="1280" w:type="pct"/>
                </w:tcPr>
                <w:p w14:paraId="76E00A54" w14:textId="77777777" w:rsidR="006B56A8" w:rsidRPr="005B4D4F" w:rsidRDefault="006B56A8" w:rsidP="00B3131A">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0BF92B3C" w14:textId="77777777" w:rsidR="006B56A8" w:rsidRPr="005B4D4F" w:rsidRDefault="006B56A8" w:rsidP="00B3131A">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70FC53DE" w14:textId="77777777" w:rsidR="006B56A8" w:rsidRPr="005B4D4F" w:rsidRDefault="006B56A8" w:rsidP="00B3131A">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6B56A8" w:rsidRPr="005B4D4F" w14:paraId="5333753C" w14:textId="77777777" w:rsidTr="00B3131A">
              <w:trPr>
                <w:cantSplit/>
                <w:jc w:val="center"/>
              </w:trPr>
              <w:tc>
                <w:tcPr>
                  <w:tcW w:w="1205" w:type="pct"/>
                  <w:tcBorders>
                    <w:top w:val="nil"/>
                  </w:tcBorders>
                  <w:vAlign w:val="center"/>
                </w:tcPr>
                <w:p w14:paraId="42A11CBD" w14:textId="77777777" w:rsidR="006B56A8" w:rsidRPr="005B4D4F" w:rsidRDefault="006B56A8" w:rsidP="00B3131A">
                  <w:pPr>
                    <w:keepNext/>
                    <w:keepLines/>
                    <w:spacing w:after="0"/>
                    <w:jc w:val="center"/>
                    <w:rPr>
                      <w:rFonts w:ascii="Arial" w:eastAsia="SimSun" w:hAnsi="Arial"/>
                      <w:sz w:val="18"/>
                    </w:rPr>
                  </w:pPr>
                </w:p>
              </w:tc>
              <w:tc>
                <w:tcPr>
                  <w:tcW w:w="1280" w:type="pct"/>
                </w:tcPr>
                <w:p w14:paraId="39D84671" w14:textId="77777777" w:rsidR="006B56A8" w:rsidRPr="005B4D4F" w:rsidRDefault="006B56A8" w:rsidP="00B3131A">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9133757" w14:textId="77777777" w:rsidR="006B56A8" w:rsidRPr="005B4D4F" w:rsidRDefault="006B56A8" w:rsidP="00B3131A">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313ED9BA" w14:textId="77777777" w:rsidR="006B56A8" w:rsidRPr="005B4D4F" w:rsidRDefault="006B56A8" w:rsidP="00B3131A">
                  <w:pPr>
                    <w:keepNext/>
                    <w:keepLines/>
                    <w:spacing w:after="0"/>
                    <w:jc w:val="center"/>
                    <w:rPr>
                      <w:rFonts w:ascii="Arial" w:eastAsia="SimSun" w:hAnsi="Arial"/>
                      <w:sz w:val="18"/>
                    </w:rPr>
                  </w:pPr>
                  <w:r w:rsidRPr="005B4D4F">
                    <w:rPr>
                      <w:rFonts w:ascii="Arial" w:eastAsia="SimSun" w:hAnsi="Arial"/>
                      <w:sz w:val="18"/>
                    </w:rPr>
                    <w:t>N/A</w:t>
                  </w:r>
                </w:p>
              </w:tc>
            </w:tr>
            <w:tr w:rsidR="006B56A8" w:rsidRPr="005B4D4F" w14:paraId="1D18818A" w14:textId="77777777" w:rsidTr="00B3131A">
              <w:trPr>
                <w:cantSplit/>
                <w:jc w:val="center"/>
              </w:trPr>
              <w:tc>
                <w:tcPr>
                  <w:tcW w:w="1205" w:type="pct"/>
                  <w:vMerge w:val="restart"/>
                  <w:tcBorders>
                    <w:top w:val="nil"/>
                  </w:tcBorders>
                  <w:vAlign w:val="center"/>
                </w:tcPr>
                <w:p w14:paraId="78254F44" w14:textId="77777777" w:rsidR="006B56A8" w:rsidRPr="005B4D4F" w:rsidRDefault="006B56A8" w:rsidP="00B3131A">
                  <w:pPr>
                    <w:keepNext/>
                    <w:keepLines/>
                    <w:spacing w:after="0"/>
                    <w:jc w:val="center"/>
                    <w:rPr>
                      <w:rFonts w:ascii="Arial" w:eastAsia="SimSun" w:hAnsi="Arial"/>
                      <w:sz w:val="18"/>
                      <w:lang w:eastAsia="zh-CN"/>
                    </w:rPr>
                  </w:pPr>
                  <w:r w:rsidRPr="00723BA7">
                    <w:rPr>
                      <w:rFonts w:ascii="Arial" w:eastAsia="SimSun" w:hAnsi="Arial"/>
                      <w:sz w:val="18"/>
                      <w:lang w:eastAsia="zh-CN"/>
                    </w:rPr>
                    <w:t>FR2-NTN</w:t>
                  </w:r>
                </w:p>
              </w:tc>
              <w:tc>
                <w:tcPr>
                  <w:tcW w:w="1280" w:type="pct"/>
                </w:tcPr>
                <w:p w14:paraId="4A5EE70D" w14:textId="77777777" w:rsidR="006B56A8" w:rsidRPr="005B4D4F" w:rsidRDefault="006B56A8" w:rsidP="00B3131A">
                  <w:pPr>
                    <w:keepNext/>
                    <w:keepLines/>
                    <w:spacing w:after="0"/>
                    <w:jc w:val="center"/>
                    <w:rPr>
                      <w:rFonts w:ascii="Arial" w:eastAsia="SimSun" w:hAnsi="Arial"/>
                      <w:sz w:val="18"/>
                      <w:lang w:eastAsia="zh-CN"/>
                    </w:rPr>
                  </w:pPr>
                  <w:r>
                    <w:rPr>
                      <w:rFonts w:ascii="Arial" w:eastAsia="SimSun" w:hAnsi="Arial"/>
                      <w:sz w:val="18"/>
                      <w:lang w:eastAsia="zh-CN"/>
                    </w:rPr>
                    <w:t>60</w:t>
                  </w:r>
                </w:p>
              </w:tc>
              <w:tc>
                <w:tcPr>
                  <w:tcW w:w="1257" w:type="pct"/>
                </w:tcPr>
                <w:p w14:paraId="35D2C799" w14:textId="77777777" w:rsidR="006B56A8" w:rsidRPr="005B4D4F" w:rsidRDefault="006B56A8" w:rsidP="00B3131A">
                  <w:pPr>
                    <w:keepNext/>
                    <w:keepLines/>
                    <w:spacing w:after="0"/>
                    <w:jc w:val="center"/>
                    <w:rPr>
                      <w:rFonts w:ascii="Arial" w:eastAsia="SimSun" w:hAnsi="Arial"/>
                      <w:sz w:val="18"/>
                      <w:lang w:eastAsia="zh-CN"/>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c>
                <w:tcPr>
                  <w:tcW w:w="1258" w:type="pct"/>
                </w:tcPr>
                <w:p w14:paraId="7240054E" w14:textId="77777777" w:rsidR="006B56A8" w:rsidRPr="005B4D4F" w:rsidRDefault="006B56A8" w:rsidP="00B3131A">
                  <w:pPr>
                    <w:keepNext/>
                    <w:keepLines/>
                    <w:spacing w:after="0"/>
                    <w:jc w:val="center"/>
                    <w:rPr>
                      <w:rFonts w:ascii="Arial" w:eastAsia="SimSun" w:hAnsi="Arial"/>
                      <w:sz w:val="18"/>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r>
            <w:tr w:rsidR="006B56A8" w:rsidRPr="005B4D4F" w14:paraId="689A1121" w14:textId="77777777" w:rsidTr="00B3131A">
              <w:trPr>
                <w:cantSplit/>
                <w:jc w:val="center"/>
              </w:trPr>
              <w:tc>
                <w:tcPr>
                  <w:tcW w:w="1205" w:type="pct"/>
                  <w:vMerge/>
                  <w:vAlign w:val="center"/>
                </w:tcPr>
                <w:p w14:paraId="502E5CE1" w14:textId="77777777" w:rsidR="006B56A8" w:rsidRDefault="006B56A8" w:rsidP="00B3131A">
                  <w:pPr>
                    <w:keepNext/>
                    <w:keepLines/>
                    <w:spacing w:after="0"/>
                    <w:jc w:val="center"/>
                    <w:rPr>
                      <w:rFonts w:ascii="Arial" w:eastAsia="SimSun" w:hAnsi="Arial"/>
                      <w:sz w:val="18"/>
                      <w:lang w:eastAsia="zh-CN"/>
                    </w:rPr>
                  </w:pPr>
                </w:p>
              </w:tc>
              <w:tc>
                <w:tcPr>
                  <w:tcW w:w="1280" w:type="pct"/>
                </w:tcPr>
                <w:p w14:paraId="1DAE0419" w14:textId="77777777" w:rsidR="006B56A8" w:rsidRDefault="006B56A8" w:rsidP="00B3131A">
                  <w:pPr>
                    <w:keepNext/>
                    <w:keepLines/>
                    <w:spacing w:after="0"/>
                    <w:jc w:val="center"/>
                    <w:rPr>
                      <w:rFonts w:ascii="Arial" w:eastAsia="SimSun" w:hAnsi="Arial"/>
                      <w:sz w:val="18"/>
                      <w:lang w:eastAsia="zh-CN"/>
                    </w:rPr>
                  </w:pPr>
                  <w:r>
                    <w:rPr>
                      <w:rFonts w:ascii="Arial" w:eastAsia="SimSun" w:hAnsi="Arial"/>
                      <w:sz w:val="18"/>
                      <w:lang w:eastAsia="zh-CN"/>
                    </w:rPr>
                    <w:t>120</w:t>
                  </w:r>
                </w:p>
              </w:tc>
              <w:tc>
                <w:tcPr>
                  <w:tcW w:w="1257" w:type="pct"/>
                </w:tcPr>
                <w:p w14:paraId="37DFFD30" w14:textId="77777777" w:rsidR="006B56A8" w:rsidRPr="005B4D4F" w:rsidRDefault="006B56A8" w:rsidP="00B3131A">
                  <w:pPr>
                    <w:keepNext/>
                    <w:keepLines/>
                    <w:spacing w:after="0"/>
                    <w:jc w:val="center"/>
                    <w:rPr>
                      <w:rFonts w:ascii="Arial" w:eastAsia="SimSun" w:hAnsi="Arial"/>
                      <w:sz w:val="18"/>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c>
                <w:tcPr>
                  <w:tcW w:w="1258" w:type="pct"/>
                </w:tcPr>
                <w:p w14:paraId="2700E691" w14:textId="77777777" w:rsidR="006B56A8" w:rsidRPr="005B4D4F" w:rsidRDefault="006B56A8" w:rsidP="00B3131A">
                  <w:pPr>
                    <w:keepNext/>
                    <w:keepLines/>
                    <w:spacing w:after="0"/>
                    <w:jc w:val="center"/>
                    <w:rPr>
                      <w:rFonts w:ascii="Arial" w:eastAsia="SimSun" w:hAnsi="Arial"/>
                      <w:sz w:val="18"/>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r>
            <w:tr w:rsidR="006B56A8" w:rsidRPr="005B4D4F" w14:paraId="270123E2" w14:textId="77777777" w:rsidTr="00B3131A">
              <w:trPr>
                <w:cantSplit/>
                <w:jc w:val="center"/>
              </w:trPr>
              <w:tc>
                <w:tcPr>
                  <w:tcW w:w="5000" w:type="pct"/>
                  <w:gridSpan w:val="4"/>
                </w:tcPr>
                <w:p w14:paraId="799011A0" w14:textId="77777777" w:rsidR="006B56A8" w:rsidRPr="005B4D4F" w:rsidRDefault="006B56A8" w:rsidP="00B3131A">
                  <w:pPr>
                    <w:keepNext/>
                    <w:keepLines/>
                    <w:spacing w:after="0"/>
                    <w:ind w:left="851" w:hanging="851"/>
                    <w:rPr>
                      <w:rFonts w:ascii="Arial" w:eastAsia="SimSun" w:hAnsi="Arial"/>
                      <w:sz w:val="18"/>
                    </w:rPr>
                  </w:pPr>
                  <w:r w:rsidRPr="005B4D4F">
                    <w:rPr>
                      <w:rFonts w:ascii="Arial" w:eastAsia="SimSun" w:hAnsi="Arial"/>
                      <w:sz w:val="18"/>
                    </w:rPr>
                    <w:t>NOTE:</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71CA5935" w14:textId="77777777" w:rsidR="006B56A8" w:rsidRDefault="006B56A8" w:rsidP="00B3131A">
            <w:pPr>
              <w:rPr>
                <w:rFonts w:eastAsia="SimSun"/>
                <w:noProof/>
                <w:highlight w:val="yellow"/>
                <w:lang w:eastAsia="zh-CN"/>
              </w:rPr>
            </w:pPr>
          </w:p>
          <w:p w14:paraId="7ACD4AB9" w14:textId="77777777" w:rsidR="006B56A8" w:rsidRPr="006A64F8" w:rsidRDefault="006B56A8" w:rsidP="00B3131A">
            <w:pPr>
              <w:rPr>
                <w:rFonts w:cstheme="minorHAnsi"/>
              </w:rPr>
            </w:pPr>
          </w:p>
        </w:tc>
      </w:tr>
    </w:tbl>
    <w:p w14:paraId="35FDD395" w14:textId="77777777" w:rsidR="006B56A8" w:rsidRDefault="006B56A8" w:rsidP="006B56A8">
      <w:pPr>
        <w:rPr>
          <w:rFonts w:cstheme="minorHAnsi"/>
        </w:rPr>
      </w:pPr>
      <w:r>
        <w:rPr>
          <w:rFonts w:cstheme="minorHAnsi"/>
        </w:rPr>
        <w:lastRenderedPageBreak/>
        <w:t xml:space="preserve"> </w:t>
      </w:r>
    </w:p>
    <w:p w14:paraId="65AABF50" w14:textId="7BFAECA8" w:rsidR="006B56A8" w:rsidRDefault="006B56A8" w:rsidP="006B56A8">
      <w:pPr>
        <w:rPr>
          <w:rFonts w:cstheme="minorHAnsi"/>
        </w:rPr>
      </w:pPr>
      <w:r>
        <w:rPr>
          <w:rFonts w:cstheme="minorHAnsi"/>
        </w:rPr>
        <w:t xml:space="preserve">As indicated by our highlights, </w:t>
      </w:r>
      <w:r w:rsidR="000867E9">
        <w:rPr>
          <w:rFonts w:cstheme="minorHAnsi"/>
        </w:rPr>
        <w:t xml:space="preserve">RAN4 specs indicate that </w:t>
      </w:r>
      <w:r>
        <w:rPr>
          <w:rFonts w:cstheme="minorHAnsi"/>
        </w:rPr>
        <w:t xml:space="preserve">only changes on the </w:t>
      </w:r>
      <w:r w:rsidRPr="006A64F8">
        <w:rPr>
          <w:rFonts w:cstheme="minorHAnsi"/>
          <w:u w:val="single"/>
        </w:rPr>
        <w:t>UE specific part due to satellite position update are not counted as part of the gradual adjustment requirements</w:t>
      </w:r>
      <w:r>
        <w:rPr>
          <w:rFonts w:cstheme="minorHAnsi"/>
        </w:rPr>
        <w:t xml:space="preserve">, which means that the changes in UE position are bound to the requirements above. </w:t>
      </w:r>
    </w:p>
    <w:p w14:paraId="4DD060C1" w14:textId="5D9AD804" w:rsidR="000867E9" w:rsidRDefault="000867E9" w:rsidP="000867E9">
      <w:pPr>
        <w:pStyle w:val="RAN4observation0"/>
      </w:pPr>
      <w:bookmarkStart w:id="11" w:name="_Toc182001127"/>
      <w:r>
        <w:t>Changes in timing caused by updates on UE position are limited by maximum and minimum adjustment rate requirements.</w:t>
      </w:r>
      <w:bookmarkEnd w:id="11"/>
      <w:r>
        <w:t xml:space="preserve"> </w:t>
      </w:r>
    </w:p>
    <w:p w14:paraId="627A4524" w14:textId="25F7E393" w:rsidR="006B56A8" w:rsidRDefault="000867E9" w:rsidP="000867E9">
      <w:pPr>
        <w:rPr>
          <w:rFonts w:cstheme="minorHAnsi"/>
        </w:rPr>
      </w:pPr>
      <w:r>
        <w:t>Another important aspect to consider is that airborne devices have been considered an example of application for NTN since Rel-17. For example, in Release 18, and operation in FR2-NTN</w:t>
      </w:r>
      <w:r>
        <w:rPr>
          <w:rFonts w:cstheme="minorHAnsi"/>
        </w:rPr>
        <w:t xml:space="preserve">, </w:t>
      </w:r>
      <w:r w:rsidR="006B56A8">
        <w:rPr>
          <w:rFonts w:cstheme="minorHAnsi"/>
        </w:rPr>
        <w:t xml:space="preserve">a special type of UE was introduced (VSAT) </w:t>
      </w:r>
      <w:r>
        <w:rPr>
          <w:rFonts w:cstheme="minorHAnsi"/>
        </w:rPr>
        <w:t>but it was accounted and presented in the WID that two types of devices should be considered (and one of the example cases in the WID is the airborne device):</w:t>
      </w:r>
    </w:p>
    <w:p w14:paraId="07BB5132" w14:textId="77777777" w:rsidR="006B56A8" w:rsidRDefault="006B56A8" w:rsidP="006B56A8">
      <w:pPr>
        <w:rPr>
          <w:rFonts w:cstheme="minorHAnsi"/>
        </w:rPr>
      </w:pPr>
    </w:p>
    <w:tbl>
      <w:tblPr>
        <w:tblStyle w:val="TableGrid"/>
        <w:tblW w:w="0" w:type="auto"/>
        <w:tblLook w:val="04A0" w:firstRow="1" w:lastRow="0" w:firstColumn="1" w:lastColumn="0" w:noHBand="0" w:noVBand="1"/>
      </w:tblPr>
      <w:tblGrid>
        <w:gridCol w:w="9617"/>
      </w:tblGrid>
      <w:tr w:rsidR="006B56A8" w14:paraId="138488D3" w14:textId="77777777" w:rsidTr="00B3131A">
        <w:tc>
          <w:tcPr>
            <w:tcW w:w="9628" w:type="dxa"/>
          </w:tcPr>
          <w:p w14:paraId="382699D8" w14:textId="77777777" w:rsidR="006B56A8" w:rsidRDefault="006B56A8" w:rsidP="00B3131A">
            <w:pPr>
              <w:rPr>
                <w:rFonts w:cstheme="minorHAnsi"/>
                <w:b/>
                <w:bCs/>
              </w:rPr>
            </w:pPr>
            <w:r w:rsidRPr="00B62B60">
              <w:rPr>
                <w:rFonts w:cstheme="minorHAnsi"/>
                <w:b/>
                <w:bCs/>
              </w:rPr>
              <w:t xml:space="preserve">Fixed VSAT: </w:t>
            </w:r>
            <w:r w:rsidRPr="00B62B60">
              <w:rPr>
                <w:rFonts w:cstheme="minorHAnsi"/>
              </w:rPr>
              <w:t>VSAT used in FSS system at given position; the given position may be a specified fixed point or any fixed point within specified areas. NOTE: Mobile VSAT is excluded from this definition</w:t>
            </w:r>
          </w:p>
          <w:p w14:paraId="3BE8D387" w14:textId="77777777" w:rsidR="006B56A8" w:rsidRDefault="006B56A8" w:rsidP="00B3131A">
            <w:pPr>
              <w:rPr>
                <w:rFonts w:cstheme="minorHAnsi"/>
                <w:b/>
                <w:bCs/>
              </w:rPr>
            </w:pPr>
          </w:p>
          <w:p w14:paraId="6E07B6A2" w14:textId="77777777" w:rsidR="006B56A8" w:rsidRDefault="006B56A8" w:rsidP="00B3131A">
            <w:pPr>
              <w:rPr>
                <w:rFonts w:cstheme="minorHAnsi"/>
              </w:rPr>
            </w:pPr>
            <w:r w:rsidRPr="00B62B60">
              <w:rPr>
                <w:rFonts w:cstheme="minorHAnsi"/>
                <w:b/>
                <w:bCs/>
              </w:rPr>
              <w:t>Mobile VSAT:</w:t>
            </w:r>
            <w:r w:rsidRPr="00B62B60">
              <w:rPr>
                <w:rFonts w:cstheme="minorHAnsi"/>
              </w:rPr>
              <w:t xml:space="preserve"> VSAT on moving platform, and which can be further declined in three types: airborne, maritime or land based. NOTE: Mobile VSAT can be also referred to as ESIM or ESOMP</w:t>
            </w:r>
          </w:p>
          <w:p w14:paraId="38F667D4" w14:textId="77777777" w:rsidR="006B56A8" w:rsidRDefault="006B56A8" w:rsidP="00B3131A">
            <w:pPr>
              <w:rPr>
                <w:rFonts w:cstheme="minorHAnsi"/>
              </w:rPr>
            </w:pPr>
          </w:p>
          <w:p w14:paraId="5FF9F6F9" w14:textId="3FECF544" w:rsidR="006B56A8" w:rsidRDefault="006B56A8" w:rsidP="00B3131A">
            <w:pPr>
              <w:rPr>
                <w:rFonts w:cstheme="minorHAnsi"/>
              </w:rPr>
            </w:pPr>
          </w:p>
        </w:tc>
      </w:tr>
    </w:tbl>
    <w:p w14:paraId="3BC82448" w14:textId="77777777" w:rsidR="006B56A8" w:rsidRPr="006B56A8" w:rsidRDefault="006B56A8" w:rsidP="006B56A8"/>
    <w:p w14:paraId="47F98CD6" w14:textId="0006E68C" w:rsidR="000867E9" w:rsidRDefault="006B56A8" w:rsidP="000867E9">
      <w:r>
        <w:t xml:space="preserve">For FR1-NTN, the values currently defined for Tp and Tq are equal to 0,18 us (microseconds), whereas for FR2-NTN the values currently defined for Tp and Tq are equal to 0,08 us (microseconds). </w:t>
      </w:r>
      <w:r w:rsidR="000867E9">
        <w:t>These values shall</w:t>
      </w:r>
      <w:r>
        <w:t xml:space="preserve"> account for twice the changes in the distance between the UE and the base station. </w:t>
      </w:r>
    </w:p>
    <w:p w14:paraId="2F981C2D" w14:textId="28E4A34D" w:rsidR="006B56A8" w:rsidRDefault="006B56A8" w:rsidP="000867E9">
      <w:pPr>
        <w:rPr>
          <w:rFonts w:cstheme="minorHAnsi"/>
        </w:rPr>
      </w:pPr>
      <w:r>
        <w:t xml:space="preserve">Assuming a speed of light approximated by 300,000 km/s, such correction factors would correspond to distances of respectively 26,8 and 12,2 meters. </w:t>
      </w:r>
      <w:r w:rsidR="000867E9">
        <w:t xml:space="preserve">When applying these values in point 3 above, that </w:t>
      </w:r>
      <w:r>
        <w:rPr>
          <w:rFonts w:cstheme="minorHAnsi"/>
        </w:rPr>
        <w:t>would force the variation in distance to be smaller than 134 m in FR1-NTN or 60 m in FR2-NTN every second. This translates into a change in distance caused by a relative speed of 483 km/h (FR1-NTN) or 219 km/h (FR2-NTN).</w:t>
      </w:r>
      <w:r w:rsidR="000867E9">
        <w:rPr>
          <w:rFonts w:cstheme="minorHAnsi"/>
        </w:rPr>
        <w:t xml:space="preserve"> Such maximum speed</w:t>
      </w:r>
      <w:r w:rsidR="008F4DA7">
        <w:rPr>
          <w:rFonts w:cstheme="minorHAnsi"/>
        </w:rPr>
        <w:t>s</w:t>
      </w:r>
      <w:r w:rsidR="000867E9">
        <w:rPr>
          <w:rFonts w:cstheme="minorHAnsi"/>
        </w:rPr>
        <w:t xml:space="preserve"> of adjustments are not enough to cover for airplane speeds (up to 900 km/h and beyond).</w:t>
      </w:r>
      <w:r>
        <w:rPr>
          <w:rFonts w:cstheme="minorHAnsi"/>
        </w:rPr>
        <w:t xml:space="preserve"> </w:t>
      </w:r>
    </w:p>
    <w:p w14:paraId="235F1669" w14:textId="510AE242" w:rsidR="006B56A8" w:rsidRDefault="006B56A8" w:rsidP="006B56A8">
      <w:r>
        <w:t>Based on the analysis above, we propose:</w:t>
      </w:r>
    </w:p>
    <w:p w14:paraId="25485233" w14:textId="1B037476" w:rsidR="000867E9" w:rsidRDefault="000867E9" w:rsidP="000867E9">
      <w:pPr>
        <w:pStyle w:val="RAN4proposal"/>
      </w:pPr>
      <w:bookmarkStart w:id="12" w:name="_Toc182001128"/>
      <w:r>
        <w:t>RAN4 to design a solution to enable fast correction measurements for high speed UEs (such as airborne devices).</w:t>
      </w:r>
      <w:bookmarkEnd w:id="12"/>
      <w:r>
        <w:t xml:space="preserve"> </w:t>
      </w:r>
    </w:p>
    <w:p w14:paraId="1DCABD1B" w14:textId="77777777" w:rsidR="006B56A8" w:rsidRPr="006B56A8" w:rsidRDefault="006B56A8" w:rsidP="006B56A8"/>
    <w:p w14:paraId="49B8AE49" w14:textId="0327BE15" w:rsidR="00267A59" w:rsidRPr="00267A59" w:rsidRDefault="00267A59" w:rsidP="00267A59">
      <w:pPr>
        <w:pStyle w:val="RAN4H1"/>
      </w:pPr>
      <w:r>
        <w:t>Conclusion</w:t>
      </w:r>
    </w:p>
    <w:p w14:paraId="5BFC8118" w14:textId="77777777" w:rsidR="00223936" w:rsidRDefault="00E34BBA" w:rsidP="000867E9">
      <w:pPr>
        <w:rPr>
          <w:noProof/>
        </w:rPr>
      </w:pPr>
      <w:r w:rsidRPr="0023526B">
        <w:t xml:space="preserve">The paper has discussed the </w:t>
      </w:r>
      <w:r>
        <w:t xml:space="preserve">need of side conditions for the applicability of </w:t>
      </w:r>
      <w:r w:rsidR="009F495D">
        <w:t>mobility requirements for enhanced mobility features in NTN. The following observations and proposals were made:</w:t>
      </w:r>
      <w:r w:rsidR="000867E9">
        <w:fldChar w:fldCharType="begin"/>
      </w:r>
      <w:r w:rsidR="000867E9">
        <w:instrText xml:space="preserve"> TOC \n \h \z \t "RAN4 proposal,1,RAN4 observation,1" </w:instrText>
      </w:r>
      <w:r w:rsidR="000867E9">
        <w:fldChar w:fldCharType="separate"/>
      </w:r>
    </w:p>
    <w:p w14:paraId="00F165AA" w14:textId="1B30C788" w:rsidR="00223936" w:rsidRDefault="00223936">
      <w:pPr>
        <w:pStyle w:val="TOC1"/>
        <w:rPr>
          <w:rFonts w:asciiTheme="minorHAnsi" w:eastAsiaTheme="minorEastAsia" w:hAnsiTheme="minorHAnsi"/>
          <w:b w:val="0"/>
          <w:iCs w:val="0"/>
          <w:kern w:val="2"/>
          <w:sz w:val="24"/>
          <w:szCs w:val="24"/>
          <w:lang w:eastAsia="zh-CN"/>
          <w14:ligatures w14:val="standardContextual"/>
        </w:rPr>
      </w:pPr>
      <w:hyperlink w:anchor="_Toc182001125" w:history="1">
        <w:r w:rsidRPr="001846C4">
          <w:rPr>
            <w:rStyle w:val="Hyperlink"/>
            <w:lang w:eastAsia="ja-JP"/>
          </w:rPr>
          <w:t xml:space="preserve">Proposal 1: A UE that supports soft satellite switching shall mandatorily support </w:t>
        </w:r>
        <w:r w:rsidRPr="001846C4">
          <w:rPr>
            <w:rStyle w:val="Hyperlink"/>
            <w:i/>
            <w:lang w:eastAsia="ja-JP"/>
          </w:rPr>
          <w:t>parallelMeasurementWithoutRestriction-r17</w:t>
        </w:r>
      </w:hyperlink>
    </w:p>
    <w:p w14:paraId="47D5EC78" w14:textId="3839468B" w:rsidR="00223936" w:rsidRDefault="00223936">
      <w:pPr>
        <w:pStyle w:val="TOC1"/>
        <w:rPr>
          <w:rFonts w:asciiTheme="minorHAnsi" w:eastAsiaTheme="minorEastAsia" w:hAnsiTheme="minorHAnsi"/>
          <w:b w:val="0"/>
          <w:iCs w:val="0"/>
          <w:kern w:val="2"/>
          <w:sz w:val="24"/>
          <w:szCs w:val="24"/>
          <w:lang w:eastAsia="zh-CN"/>
          <w14:ligatures w14:val="standardContextual"/>
        </w:rPr>
      </w:pPr>
      <w:hyperlink w:anchor="_Toc182001126" w:history="1">
        <w:r w:rsidRPr="001846C4">
          <w:rPr>
            <w:rStyle w:val="Hyperlink"/>
          </w:rPr>
          <w:t>Proposal 2: In NGSO scenarios, GNSS shall be on during measurement procedures for cell reselection, if the NTN capable UE is configured to measure a NTN frequency layer with higher priority.</w:t>
        </w:r>
      </w:hyperlink>
    </w:p>
    <w:p w14:paraId="74DD9CE5" w14:textId="1F3FD05D" w:rsidR="00223936" w:rsidRDefault="00223936">
      <w:pPr>
        <w:pStyle w:val="TOC1"/>
        <w:rPr>
          <w:rFonts w:asciiTheme="minorHAnsi" w:eastAsiaTheme="minorEastAsia" w:hAnsiTheme="minorHAnsi"/>
          <w:b w:val="0"/>
          <w:iCs w:val="0"/>
          <w:kern w:val="2"/>
          <w:sz w:val="24"/>
          <w:szCs w:val="24"/>
          <w:lang w:eastAsia="zh-CN"/>
          <w14:ligatures w14:val="standardContextual"/>
        </w:rPr>
      </w:pPr>
      <w:hyperlink w:anchor="_Toc182001127" w:history="1">
        <w:r w:rsidRPr="001846C4">
          <w:rPr>
            <w:rStyle w:val="Hyperlink"/>
          </w:rPr>
          <w:t>Observation 1: Changes in timing caused by updates on UE position are limited by maximum and minimum adjustment rate requirements.</w:t>
        </w:r>
      </w:hyperlink>
    </w:p>
    <w:p w14:paraId="74D8F8AC" w14:textId="3EFF133C" w:rsidR="00223936" w:rsidRDefault="00223936">
      <w:pPr>
        <w:pStyle w:val="TOC1"/>
        <w:rPr>
          <w:rFonts w:asciiTheme="minorHAnsi" w:eastAsiaTheme="minorEastAsia" w:hAnsiTheme="minorHAnsi"/>
          <w:b w:val="0"/>
          <w:iCs w:val="0"/>
          <w:kern w:val="2"/>
          <w:sz w:val="24"/>
          <w:szCs w:val="24"/>
          <w:lang w:eastAsia="zh-CN"/>
          <w14:ligatures w14:val="standardContextual"/>
        </w:rPr>
      </w:pPr>
      <w:hyperlink w:anchor="_Toc182001128" w:history="1">
        <w:r w:rsidRPr="001846C4">
          <w:rPr>
            <w:rStyle w:val="Hyperlink"/>
          </w:rPr>
          <w:t>Proposal 3: RAN4 to design a solution to enable fast correction measurements for high speed UEs (such as airborne devices).</w:t>
        </w:r>
      </w:hyperlink>
    </w:p>
    <w:p w14:paraId="00A0EF07" w14:textId="244F405A" w:rsidR="00BD647D" w:rsidRDefault="000867E9" w:rsidP="000867E9">
      <w:pPr>
        <w:rPr>
          <w:lang w:val="en-US"/>
        </w:rPr>
      </w:pPr>
      <w:r>
        <w:fldChar w:fldCharType="end"/>
      </w:r>
      <w:r>
        <w:rPr>
          <w:lang w:val="en-US"/>
        </w:rPr>
        <w:t xml:space="preserve"> </w:t>
      </w:r>
    </w:p>
    <w:p w14:paraId="218CFCEE"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0"/>
    </w:p>
    <w:p w14:paraId="38CFFCE5" w14:textId="77777777" w:rsidR="004E7EC0" w:rsidRDefault="004E7EC0" w:rsidP="004E7EC0">
      <w:pPr>
        <w:numPr>
          <w:ilvl w:val="0"/>
          <w:numId w:val="21"/>
        </w:numPr>
        <w:overflowPunct w:val="0"/>
        <w:autoSpaceDE w:val="0"/>
        <w:autoSpaceDN w:val="0"/>
        <w:adjustRightInd w:val="0"/>
        <w:spacing w:after="0" w:line="240" w:lineRule="auto"/>
        <w:jc w:val="both"/>
        <w:textAlignment w:val="baseline"/>
      </w:pPr>
      <w:bookmarkStart w:id="13" w:name="_Ref114500673"/>
      <w:bookmarkStart w:id="14" w:name="_Ref54013899"/>
      <w:bookmarkStart w:id="15" w:name="_Ref141960737"/>
      <w:bookmarkStart w:id="16" w:name="_Ref118130196"/>
      <w:bookmarkStart w:id="17" w:name="_Ref158813489"/>
      <w:bookmarkEnd w:id="13"/>
      <w:r w:rsidRPr="00FD51CE">
        <w:t>RP-223534</w:t>
      </w:r>
      <w:r w:rsidRPr="00FF6B64">
        <w:t xml:space="preserve">, </w:t>
      </w:r>
      <w:bookmarkEnd w:id="14"/>
      <w:r w:rsidRPr="00917899">
        <w:rPr>
          <w:i/>
          <w:iCs/>
        </w:rPr>
        <w:t>“NR NTN (Non-Terrestrial Networks) enhancements”</w:t>
      </w:r>
      <w:r>
        <w:t>, Thales</w:t>
      </w:r>
      <w:bookmarkEnd w:id="15"/>
    </w:p>
    <w:p w14:paraId="396FF365" w14:textId="026B9BF0" w:rsidR="00665F71" w:rsidRDefault="00665F71" w:rsidP="004E7EC0">
      <w:pPr>
        <w:pStyle w:val="ListParagraph"/>
        <w:numPr>
          <w:ilvl w:val="0"/>
          <w:numId w:val="21"/>
        </w:numPr>
        <w:ind w:right="-22"/>
      </w:pPr>
      <w:bookmarkStart w:id="18" w:name="_Ref166075839"/>
      <w:bookmarkStart w:id="19" w:name="_Ref158818293"/>
      <w:bookmarkStart w:id="20" w:name="_Ref163487327"/>
      <w:r w:rsidRPr="00665F71">
        <w:t>R4-2406430</w:t>
      </w:r>
      <w:r>
        <w:t>, “</w:t>
      </w:r>
      <w:r w:rsidRPr="00665F71">
        <w:rPr>
          <w:i/>
          <w:iCs/>
        </w:rPr>
        <w:t>WF on RRM requirements for NR_NTN_enh</w:t>
      </w:r>
      <w:r>
        <w:rPr>
          <w:i/>
          <w:iCs/>
        </w:rPr>
        <w:t xml:space="preserve">”, </w:t>
      </w:r>
      <w:r w:rsidRPr="00665F71">
        <w:t>Changsha, China, 15th – 19th April, 2024</w:t>
      </w:r>
      <w:bookmarkEnd w:id="18"/>
    </w:p>
    <w:p w14:paraId="267010A7" w14:textId="3C5F91FA" w:rsidR="004E7EC0" w:rsidRDefault="004E7EC0" w:rsidP="004E7EC0">
      <w:pPr>
        <w:pStyle w:val="ListParagraph"/>
        <w:numPr>
          <w:ilvl w:val="0"/>
          <w:numId w:val="21"/>
        </w:numPr>
        <w:ind w:right="-22"/>
      </w:pPr>
      <w:bookmarkStart w:id="21" w:name="_Ref166075865"/>
      <w:r w:rsidRPr="0086642C">
        <w:t>R4-2403492</w:t>
      </w:r>
      <w:r>
        <w:t xml:space="preserve">, </w:t>
      </w:r>
      <w:r w:rsidRPr="0086642C">
        <w:rPr>
          <w:rFonts w:cs="Arial"/>
          <w:i/>
          <w:iCs/>
          <w:sz w:val="18"/>
          <w:szCs w:val="18"/>
        </w:rPr>
        <w:t xml:space="preserve">WF on NTN RRM requirements, </w:t>
      </w:r>
      <w:r w:rsidRPr="0099133A">
        <w:t xml:space="preserve">Moderator (Qualcomm Incorporated), </w:t>
      </w:r>
      <w:r w:rsidRPr="00381F95">
        <w:t>RAN</w:t>
      </w:r>
      <w:r>
        <w:t>4</w:t>
      </w:r>
      <w:r w:rsidRPr="00381F95">
        <w:t>#1</w:t>
      </w:r>
      <w:r>
        <w:t>10</w:t>
      </w:r>
      <w:r w:rsidRPr="00381F95">
        <w:t xml:space="preserve">, </w:t>
      </w:r>
      <w:bookmarkEnd w:id="19"/>
      <w:r w:rsidRPr="0086642C">
        <w:t>Athens,</w:t>
      </w:r>
      <w:r>
        <w:t xml:space="preserve"> Greece</w:t>
      </w:r>
      <w:r w:rsidRPr="0086642C">
        <w:t>, 26 Feb – 01 Mar, 2024</w:t>
      </w:r>
      <w:bookmarkEnd w:id="20"/>
      <w:bookmarkEnd w:id="21"/>
    </w:p>
    <w:p w14:paraId="2F499D38" w14:textId="77777777" w:rsidR="00424A1C" w:rsidRDefault="00424A1C" w:rsidP="00424A1C">
      <w:pPr>
        <w:pStyle w:val="ListParagraph"/>
        <w:numPr>
          <w:ilvl w:val="0"/>
          <w:numId w:val="21"/>
        </w:numPr>
      </w:pPr>
      <w:bookmarkStart w:id="22" w:name="_Ref163475821"/>
      <w:r w:rsidRPr="008A32D3">
        <w:t>R4-240</w:t>
      </w:r>
      <w:r>
        <w:t>3493</w:t>
      </w:r>
      <w:r w:rsidRPr="008A32D3">
        <w:t xml:space="preserve">, </w:t>
      </w:r>
      <w:r w:rsidRPr="0062096E">
        <w:t>Reply LS on RAN2 agreements for satellite switch with resync</w:t>
      </w:r>
      <w:r w:rsidRPr="008A32D3">
        <w:t xml:space="preserve">, </w:t>
      </w:r>
      <w:r>
        <w:t>Apple</w:t>
      </w:r>
      <w:r w:rsidRPr="008A32D3">
        <w:t>, RAN4#110, Athens, Greece, 26 Feb – 01 Mar, 2024</w:t>
      </w:r>
      <w:bookmarkEnd w:id="22"/>
    </w:p>
    <w:p w14:paraId="28ED8F4A" w14:textId="4C277341" w:rsidR="00192557" w:rsidRPr="008A32D3" w:rsidRDefault="00192557" w:rsidP="00424A1C">
      <w:pPr>
        <w:pStyle w:val="ListParagraph"/>
        <w:numPr>
          <w:ilvl w:val="0"/>
          <w:numId w:val="21"/>
        </w:numPr>
      </w:pPr>
      <w:bookmarkStart w:id="23" w:name="_Ref166144118"/>
      <w:r w:rsidRPr="00192557">
        <w:t>R4-2405751</w:t>
      </w:r>
      <w:r>
        <w:t xml:space="preserve">, </w:t>
      </w:r>
      <w:r w:rsidRPr="00192557">
        <w:rPr>
          <w:i/>
          <w:iCs/>
        </w:rPr>
        <w:t>Discussion on Satellite switching with resynchronization</w:t>
      </w:r>
      <w:r>
        <w:rPr>
          <w:i/>
          <w:iCs/>
        </w:rPr>
        <w:t xml:space="preserve">, </w:t>
      </w:r>
      <w:r>
        <w:t>Nokia,</w:t>
      </w:r>
      <w:r w:rsidR="00BE0502">
        <w:t xml:space="preserve"> </w:t>
      </w:r>
      <w:r w:rsidR="00BE0502" w:rsidRPr="008A32D3">
        <w:t>RAN4#110</w:t>
      </w:r>
      <w:r w:rsidR="00BE0502">
        <w:t>bis,</w:t>
      </w:r>
      <w:r>
        <w:t xml:space="preserve"> </w:t>
      </w:r>
      <w:r w:rsidRPr="00192557">
        <w:t>Changsha, China, April 15 – April 19, 2024</w:t>
      </w:r>
      <w:bookmarkEnd w:id="23"/>
    </w:p>
    <w:bookmarkEnd w:id="16"/>
    <w:bookmarkEnd w:id="17"/>
    <w:p w14:paraId="6C26B3FD" w14:textId="44B710F8" w:rsidR="00E43BF9" w:rsidRPr="00372776" w:rsidRDefault="00E43BF9" w:rsidP="00BE0502">
      <w:pPr>
        <w:ind w:right="-22"/>
      </w:pPr>
    </w:p>
    <w:sectPr w:rsidR="00E43BF9" w:rsidRPr="00372776" w:rsidSect="00B57CE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CE772" w14:textId="77777777" w:rsidR="004C3E1A" w:rsidRDefault="004C3E1A" w:rsidP="00001C9B">
      <w:pPr>
        <w:spacing w:after="0" w:line="240" w:lineRule="auto"/>
      </w:pPr>
      <w:r>
        <w:separator/>
      </w:r>
    </w:p>
  </w:endnote>
  <w:endnote w:type="continuationSeparator" w:id="0">
    <w:p w14:paraId="4122A222" w14:textId="77777777" w:rsidR="004C3E1A" w:rsidRDefault="004C3E1A" w:rsidP="00001C9B">
      <w:pPr>
        <w:spacing w:after="0" w:line="240" w:lineRule="auto"/>
      </w:pPr>
      <w:r>
        <w:continuationSeparator/>
      </w:r>
    </w:p>
  </w:endnote>
  <w:endnote w:type="continuationNotice" w:id="1">
    <w:p w14:paraId="2FE2B35E" w14:textId="77777777" w:rsidR="004C3E1A" w:rsidRDefault="004C3E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C72FC2" w14:textId="77777777" w:rsidR="004C3E1A" w:rsidRDefault="004C3E1A" w:rsidP="00001C9B">
      <w:pPr>
        <w:spacing w:after="0" w:line="240" w:lineRule="auto"/>
      </w:pPr>
      <w:r>
        <w:separator/>
      </w:r>
    </w:p>
  </w:footnote>
  <w:footnote w:type="continuationSeparator" w:id="0">
    <w:p w14:paraId="635C9E31" w14:textId="77777777" w:rsidR="004C3E1A" w:rsidRDefault="004C3E1A" w:rsidP="00001C9B">
      <w:pPr>
        <w:spacing w:after="0" w:line="240" w:lineRule="auto"/>
      </w:pPr>
      <w:r>
        <w:continuationSeparator/>
      </w:r>
    </w:p>
  </w:footnote>
  <w:footnote w:type="continuationNotice" w:id="1">
    <w:p w14:paraId="3855B249" w14:textId="77777777" w:rsidR="004C3E1A" w:rsidRDefault="004C3E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650F93"/>
    <w:multiLevelType w:val="hybridMultilevel"/>
    <w:tmpl w:val="B2D4F82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A2B54"/>
    <w:multiLevelType w:val="hybridMultilevel"/>
    <w:tmpl w:val="DDAE0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94228C9"/>
    <w:multiLevelType w:val="hybridMultilevel"/>
    <w:tmpl w:val="E84C4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BBE2AAD"/>
    <w:multiLevelType w:val="hybridMultilevel"/>
    <w:tmpl w:val="BEC2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3"/>
  </w:num>
  <w:num w:numId="4" w16cid:durableId="517735681">
    <w:abstractNumId w:val="6"/>
  </w:num>
  <w:num w:numId="5" w16cid:durableId="1142041724">
    <w:abstractNumId w:val="17"/>
  </w:num>
  <w:num w:numId="6" w16cid:durableId="80681869">
    <w:abstractNumId w:val="10"/>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0"/>
    <w:lvlOverride w:ilvl="0">
      <w:startOverride w:val="1"/>
    </w:lvlOverride>
  </w:num>
  <w:num w:numId="12" w16cid:durableId="122584543">
    <w:abstractNumId w:val="12"/>
    <w:lvlOverride w:ilvl="0">
      <w:startOverride w:val="1"/>
    </w:lvlOverride>
  </w:num>
  <w:num w:numId="13" w16cid:durableId="818807267">
    <w:abstractNumId w:val="10"/>
    <w:lvlOverride w:ilvl="0">
      <w:startOverride w:val="1"/>
    </w:lvlOverride>
  </w:num>
  <w:num w:numId="14" w16cid:durableId="883829348">
    <w:abstractNumId w:val="12"/>
    <w:lvlOverride w:ilvl="0">
      <w:startOverride w:val="1"/>
    </w:lvlOverride>
  </w:num>
  <w:num w:numId="15" w16cid:durableId="438372887">
    <w:abstractNumId w:val="19"/>
  </w:num>
  <w:num w:numId="16" w16cid:durableId="516113510">
    <w:abstractNumId w:val="5"/>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893927055">
    <w:abstractNumId w:val="2"/>
  </w:num>
  <w:num w:numId="28" w16cid:durableId="768963453">
    <w:abstractNumId w:val="16"/>
  </w:num>
  <w:num w:numId="29" w16cid:durableId="843668308">
    <w:abstractNumId w:val="18"/>
  </w:num>
  <w:num w:numId="30" w16cid:durableId="1061708403">
    <w:abstractNumId w:val="8"/>
  </w:num>
  <w:num w:numId="31" w16cid:durableId="1625189463">
    <w:abstractNumId w:val="4"/>
  </w:num>
  <w:num w:numId="32" w16cid:durableId="18592676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67F53"/>
    <w:rsid w:val="00001BD6"/>
    <w:rsid w:val="00001C9B"/>
    <w:rsid w:val="000040DC"/>
    <w:rsid w:val="00011784"/>
    <w:rsid w:val="000151EF"/>
    <w:rsid w:val="000239F5"/>
    <w:rsid w:val="00031137"/>
    <w:rsid w:val="000411A0"/>
    <w:rsid w:val="00072CCA"/>
    <w:rsid w:val="0008612A"/>
    <w:rsid w:val="000867E9"/>
    <w:rsid w:val="00090E18"/>
    <w:rsid w:val="000A10BC"/>
    <w:rsid w:val="000A7F53"/>
    <w:rsid w:val="000B0056"/>
    <w:rsid w:val="000C3C7B"/>
    <w:rsid w:val="000D0F93"/>
    <w:rsid w:val="000F022A"/>
    <w:rsid w:val="00106416"/>
    <w:rsid w:val="00110481"/>
    <w:rsid w:val="001127C9"/>
    <w:rsid w:val="00114498"/>
    <w:rsid w:val="00115B88"/>
    <w:rsid w:val="00122F95"/>
    <w:rsid w:val="00132F6A"/>
    <w:rsid w:val="00133913"/>
    <w:rsid w:val="00140221"/>
    <w:rsid w:val="001642FC"/>
    <w:rsid w:val="0016496B"/>
    <w:rsid w:val="001743E2"/>
    <w:rsid w:val="001745F8"/>
    <w:rsid w:val="001838CF"/>
    <w:rsid w:val="001868EE"/>
    <w:rsid w:val="00186AAD"/>
    <w:rsid w:val="00192557"/>
    <w:rsid w:val="001A3BA4"/>
    <w:rsid w:val="001A6D1F"/>
    <w:rsid w:val="001B1EA8"/>
    <w:rsid w:val="001C5F50"/>
    <w:rsid w:val="001E30F6"/>
    <w:rsid w:val="00217EE5"/>
    <w:rsid w:val="00223936"/>
    <w:rsid w:val="00234AC8"/>
    <w:rsid w:val="00235F5C"/>
    <w:rsid w:val="00257FA3"/>
    <w:rsid w:val="00267A59"/>
    <w:rsid w:val="00277B56"/>
    <w:rsid w:val="00282A74"/>
    <w:rsid w:val="002849D4"/>
    <w:rsid w:val="002A19F5"/>
    <w:rsid w:val="002B4922"/>
    <w:rsid w:val="002B69F3"/>
    <w:rsid w:val="002C22C3"/>
    <w:rsid w:val="002C2D19"/>
    <w:rsid w:val="002D10FA"/>
    <w:rsid w:val="002D4C55"/>
    <w:rsid w:val="002E6DED"/>
    <w:rsid w:val="00300956"/>
    <w:rsid w:val="003112C0"/>
    <w:rsid w:val="00317187"/>
    <w:rsid w:val="0031722C"/>
    <w:rsid w:val="0032499A"/>
    <w:rsid w:val="003341F7"/>
    <w:rsid w:val="00347FEC"/>
    <w:rsid w:val="003509DF"/>
    <w:rsid w:val="00356F45"/>
    <w:rsid w:val="00366B74"/>
    <w:rsid w:val="00372776"/>
    <w:rsid w:val="00372D55"/>
    <w:rsid w:val="00381F95"/>
    <w:rsid w:val="00382F19"/>
    <w:rsid w:val="003A710A"/>
    <w:rsid w:val="003B659E"/>
    <w:rsid w:val="003C275E"/>
    <w:rsid w:val="003C4FDE"/>
    <w:rsid w:val="003E58DF"/>
    <w:rsid w:val="00404C4C"/>
    <w:rsid w:val="0041423F"/>
    <w:rsid w:val="00414A70"/>
    <w:rsid w:val="00414F81"/>
    <w:rsid w:val="004159C2"/>
    <w:rsid w:val="00424A1C"/>
    <w:rsid w:val="004325D1"/>
    <w:rsid w:val="00436A0F"/>
    <w:rsid w:val="00437150"/>
    <w:rsid w:val="0043750A"/>
    <w:rsid w:val="00447577"/>
    <w:rsid w:val="004732E9"/>
    <w:rsid w:val="004854BB"/>
    <w:rsid w:val="00486DAA"/>
    <w:rsid w:val="0049393F"/>
    <w:rsid w:val="00494493"/>
    <w:rsid w:val="00496606"/>
    <w:rsid w:val="004C3E1A"/>
    <w:rsid w:val="004E5219"/>
    <w:rsid w:val="004E5E66"/>
    <w:rsid w:val="004E7ADB"/>
    <w:rsid w:val="004E7EC0"/>
    <w:rsid w:val="004F2D2F"/>
    <w:rsid w:val="00503B4D"/>
    <w:rsid w:val="00504EE9"/>
    <w:rsid w:val="00514E4F"/>
    <w:rsid w:val="00521576"/>
    <w:rsid w:val="00522856"/>
    <w:rsid w:val="005250E6"/>
    <w:rsid w:val="0053328A"/>
    <w:rsid w:val="00542D23"/>
    <w:rsid w:val="0054442C"/>
    <w:rsid w:val="00550285"/>
    <w:rsid w:val="00562492"/>
    <w:rsid w:val="00572A20"/>
    <w:rsid w:val="005836F8"/>
    <w:rsid w:val="005918FA"/>
    <w:rsid w:val="00592A86"/>
    <w:rsid w:val="005B3029"/>
    <w:rsid w:val="005B4801"/>
    <w:rsid w:val="005C23A4"/>
    <w:rsid w:val="005C7796"/>
    <w:rsid w:val="005D1CDF"/>
    <w:rsid w:val="005D231B"/>
    <w:rsid w:val="005D2BB7"/>
    <w:rsid w:val="005D6FFE"/>
    <w:rsid w:val="005E61A8"/>
    <w:rsid w:val="005F6419"/>
    <w:rsid w:val="0060301D"/>
    <w:rsid w:val="0060543D"/>
    <w:rsid w:val="006104DD"/>
    <w:rsid w:val="006130B5"/>
    <w:rsid w:val="00614DD8"/>
    <w:rsid w:val="00615D2B"/>
    <w:rsid w:val="00616501"/>
    <w:rsid w:val="00617400"/>
    <w:rsid w:val="006308C2"/>
    <w:rsid w:val="00632D29"/>
    <w:rsid w:val="00664950"/>
    <w:rsid w:val="00665F71"/>
    <w:rsid w:val="00667F53"/>
    <w:rsid w:val="00683220"/>
    <w:rsid w:val="00683C36"/>
    <w:rsid w:val="00687FA0"/>
    <w:rsid w:val="006A3C11"/>
    <w:rsid w:val="006B56A8"/>
    <w:rsid w:val="006B7010"/>
    <w:rsid w:val="006C3095"/>
    <w:rsid w:val="006E1151"/>
    <w:rsid w:val="006E6311"/>
    <w:rsid w:val="007145FF"/>
    <w:rsid w:val="00715B2A"/>
    <w:rsid w:val="00733B21"/>
    <w:rsid w:val="007450F1"/>
    <w:rsid w:val="00746507"/>
    <w:rsid w:val="00751515"/>
    <w:rsid w:val="00753C69"/>
    <w:rsid w:val="007626B7"/>
    <w:rsid w:val="0078212B"/>
    <w:rsid w:val="00784DF6"/>
    <w:rsid w:val="00785232"/>
    <w:rsid w:val="007B186C"/>
    <w:rsid w:val="007B7198"/>
    <w:rsid w:val="007C1696"/>
    <w:rsid w:val="007C3ED0"/>
    <w:rsid w:val="007C48C4"/>
    <w:rsid w:val="007C5971"/>
    <w:rsid w:val="007D4BF6"/>
    <w:rsid w:val="007E42DC"/>
    <w:rsid w:val="007F54B9"/>
    <w:rsid w:val="00806A76"/>
    <w:rsid w:val="00811C9D"/>
    <w:rsid w:val="00816C80"/>
    <w:rsid w:val="0081797B"/>
    <w:rsid w:val="00841BCD"/>
    <w:rsid w:val="00844FB5"/>
    <w:rsid w:val="00847264"/>
    <w:rsid w:val="00851A8E"/>
    <w:rsid w:val="00852E0C"/>
    <w:rsid w:val="0085365B"/>
    <w:rsid w:val="008709C6"/>
    <w:rsid w:val="0087481E"/>
    <w:rsid w:val="008826C1"/>
    <w:rsid w:val="00883DFD"/>
    <w:rsid w:val="00883F23"/>
    <w:rsid w:val="00891FE6"/>
    <w:rsid w:val="0089210C"/>
    <w:rsid w:val="00893D2E"/>
    <w:rsid w:val="008A1BF7"/>
    <w:rsid w:val="008A5B0E"/>
    <w:rsid w:val="008B0961"/>
    <w:rsid w:val="008B6ADA"/>
    <w:rsid w:val="008C39F7"/>
    <w:rsid w:val="008C3B6C"/>
    <w:rsid w:val="008F4DA7"/>
    <w:rsid w:val="0090091A"/>
    <w:rsid w:val="009042BD"/>
    <w:rsid w:val="00904FE4"/>
    <w:rsid w:val="009151DE"/>
    <w:rsid w:val="00927740"/>
    <w:rsid w:val="009302C1"/>
    <w:rsid w:val="00936159"/>
    <w:rsid w:val="00977E1D"/>
    <w:rsid w:val="00982E2F"/>
    <w:rsid w:val="009B0573"/>
    <w:rsid w:val="009B416B"/>
    <w:rsid w:val="009B7B4B"/>
    <w:rsid w:val="009B7C21"/>
    <w:rsid w:val="009E2A1F"/>
    <w:rsid w:val="009E4E6E"/>
    <w:rsid w:val="009F495D"/>
    <w:rsid w:val="00A04992"/>
    <w:rsid w:val="00A04D82"/>
    <w:rsid w:val="00A147AA"/>
    <w:rsid w:val="00A21D71"/>
    <w:rsid w:val="00A22B78"/>
    <w:rsid w:val="00A246F7"/>
    <w:rsid w:val="00A25AE5"/>
    <w:rsid w:val="00A26442"/>
    <w:rsid w:val="00A37002"/>
    <w:rsid w:val="00A4355E"/>
    <w:rsid w:val="00A520D9"/>
    <w:rsid w:val="00A64DA0"/>
    <w:rsid w:val="00A92BCD"/>
    <w:rsid w:val="00AA1B0E"/>
    <w:rsid w:val="00AA47B6"/>
    <w:rsid w:val="00AC163B"/>
    <w:rsid w:val="00AC5CA7"/>
    <w:rsid w:val="00AC6058"/>
    <w:rsid w:val="00AE2BA5"/>
    <w:rsid w:val="00AE56B1"/>
    <w:rsid w:val="00AE6D09"/>
    <w:rsid w:val="00AF7A7C"/>
    <w:rsid w:val="00B02070"/>
    <w:rsid w:val="00B408B6"/>
    <w:rsid w:val="00B542DA"/>
    <w:rsid w:val="00B557F7"/>
    <w:rsid w:val="00B57CEF"/>
    <w:rsid w:val="00B73862"/>
    <w:rsid w:val="00B73F43"/>
    <w:rsid w:val="00B75BBF"/>
    <w:rsid w:val="00B81CDC"/>
    <w:rsid w:val="00BA308C"/>
    <w:rsid w:val="00BA6B66"/>
    <w:rsid w:val="00BA6E48"/>
    <w:rsid w:val="00BB7CB2"/>
    <w:rsid w:val="00BD647D"/>
    <w:rsid w:val="00BE0502"/>
    <w:rsid w:val="00BE0AF6"/>
    <w:rsid w:val="00BE1F03"/>
    <w:rsid w:val="00BE4E6F"/>
    <w:rsid w:val="00BE58A7"/>
    <w:rsid w:val="00BF2218"/>
    <w:rsid w:val="00C0426B"/>
    <w:rsid w:val="00C045DF"/>
    <w:rsid w:val="00C07064"/>
    <w:rsid w:val="00C238E7"/>
    <w:rsid w:val="00C26D43"/>
    <w:rsid w:val="00C35173"/>
    <w:rsid w:val="00C46548"/>
    <w:rsid w:val="00C52756"/>
    <w:rsid w:val="00C574D5"/>
    <w:rsid w:val="00C73B08"/>
    <w:rsid w:val="00C73F32"/>
    <w:rsid w:val="00C87462"/>
    <w:rsid w:val="00CA180C"/>
    <w:rsid w:val="00CA519F"/>
    <w:rsid w:val="00CB22B2"/>
    <w:rsid w:val="00CC3EE2"/>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1248"/>
    <w:rsid w:val="00D85728"/>
    <w:rsid w:val="00D95481"/>
    <w:rsid w:val="00DC7A13"/>
    <w:rsid w:val="00DE7064"/>
    <w:rsid w:val="00DF2997"/>
    <w:rsid w:val="00E06776"/>
    <w:rsid w:val="00E10BC4"/>
    <w:rsid w:val="00E1415D"/>
    <w:rsid w:val="00E213BD"/>
    <w:rsid w:val="00E323E9"/>
    <w:rsid w:val="00E32FB6"/>
    <w:rsid w:val="00E34018"/>
    <w:rsid w:val="00E34BBA"/>
    <w:rsid w:val="00E35FDE"/>
    <w:rsid w:val="00E437D2"/>
    <w:rsid w:val="00E43BF9"/>
    <w:rsid w:val="00E51930"/>
    <w:rsid w:val="00E55751"/>
    <w:rsid w:val="00E558FE"/>
    <w:rsid w:val="00E7398E"/>
    <w:rsid w:val="00EA2311"/>
    <w:rsid w:val="00EB64C5"/>
    <w:rsid w:val="00EC7BC3"/>
    <w:rsid w:val="00ED7600"/>
    <w:rsid w:val="00EF6073"/>
    <w:rsid w:val="00EF698B"/>
    <w:rsid w:val="00F04BC9"/>
    <w:rsid w:val="00F1362C"/>
    <w:rsid w:val="00F4054A"/>
    <w:rsid w:val="00F414F1"/>
    <w:rsid w:val="00F508B8"/>
    <w:rsid w:val="00F72CB1"/>
    <w:rsid w:val="00F8215E"/>
    <w:rsid w:val="00F824F5"/>
    <w:rsid w:val="00F90FAB"/>
    <w:rsid w:val="00F9374D"/>
    <w:rsid w:val="00FA0EEE"/>
    <w:rsid w:val="00FB4743"/>
    <w:rsid w:val="00FC29B9"/>
    <w:rsid w:val="00FC6FD3"/>
    <w:rsid w:val="00FE305C"/>
    <w:rsid w:val="00FE4BB0"/>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10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0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616501"/>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 w:hAnsi="@SimSu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PLChar">
    <w:name w:val="PL Char"/>
    <w:link w:val="PL"/>
    <w:qFormat/>
    <w:locked/>
    <w:rsid w:val="00122F9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2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B1Char">
    <w:name w:val="B1 Char"/>
    <w:link w:val="B1"/>
    <w:qFormat/>
    <w:locked/>
    <w:rsid w:val="009302C1"/>
    <w:rPr>
      <w:rFonts w:ascii="Times New Roman" w:hAnsi="Times New Roman" w:cs="Times New Roman"/>
      <w:lang w:val="en-GB"/>
    </w:rPr>
  </w:style>
  <w:style w:type="paragraph" w:customStyle="1" w:styleId="B1">
    <w:name w:val="B1"/>
    <w:basedOn w:val="List"/>
    <w:link w:val="B1Char"/>
    <w:qFormat/>
    <w:rsid w:val="009302C1"/>
    <w:pPr>
      <w:spacing w:after="180" w:line="240" w:lineRule="auto"/>
      <w:ind w:left="568" w:hanging="284"/>
      <w:contextualSpacing w:val="0"/>
    </w:pPr>
    <w:rPr>
      <w:rFonts w:cs="Times New Roman"/>
      <w:sz w:val="22"/>
    </w:rPr>
  </w:style>
  <w:style w:type="paragraph" w:styleId="List">
    <w:name w:val="List"/>
    <w:basedOn w:val="Normal"/>
    <w:uiPriority w:val="99"/>
    <w:semiHidden/>
    <w:unhideWhenUsed/>
    <w:rsid w:val="009302C1"/>
    <w:pPr>
      <w:ind w:left="283" w:hanging="283"/>
      <w:contextualSpacing/>
    </w:pPr>
  </w:style>
  <w:style w:type="character" w:customStyle="1" w:styleId="CaptionChar1">
    <w:name w:val="Caption Char1"/>
    <w:aliases w:val="cap Char1,cap Char Char,Caption Char Char,Caption Char1 Char Char,cap Char Char1 Char,Caption Char Char1 Char Char,cap Char2 Char,题注 Char"/>
    <w:uiPriority w:val="35"/>
    <w:semiHidden/>
    <w:locked/>
    <w:rsid w:val="00414A70"/>
    <w:rPr>
      <w:b/>
      <w:kern w:val="2"/>
      <w:lang w:val="en-GB"/>
      <w14:ligatures w14:val="standardContextual"/>
    </w:rPr>
  </w:style>
  <w:style w:type="paragraph" w:styleId="Header">
    <w:name w:val="header"/>
    <w:basedOn w:val="Normal"/>
    <w:link w:val="HeaderChar"/>
    <w:uiPriority w:val="99"/>
    <w:unhideWhenUsed/>
    <w:rsid w:val="009151DE"/>
    <w:pPr>
      <w:tabs>
        <w:tab w:val="center" w:pos="4819"/>
        <w:tab w:val="right" w:pos="9638"/>
      </w:tabs>
      <w:spacing w:after="0" w:line="240" w:lineRule="auto"/>
    </w:pPr>
  </w:style>
  <w:style w:type="character" w:customStyle="1" w:styleId="HeaderChar">
    <w:name w:val="Header Char"/>
    <w:basedOn w:val="DefaultParagraphFont"/>
    <w:link w:val="Header"/>
    <w:uiPriority w:val="99"/>
    <w:rsid w:val="009151DE"/>
    <w:rPr>
      <w:rFonts w:ascii="Times New Roman" w:hAnsi="Times New Roman"/>
      <w:sz w:val="20"/>
      <w:lang w:val="en-GB"/>
    </w:rPr>
  </w:style>
  <w:style w:type="paragraph" w:styleId="Footer">
    <w:name w:val="footer"/>
    <w:basedOn w:val="Normal"/>
    <w:link w:val="FooterChar"/>
    <w:uiPriority w:val="99"/>
    <w:unhideWhenUsed/>
    <w:rsid w:val="009151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9151DE"/>
    <w:rPr>
      <w:rFonts w:ascii="Times New Roman" w:hAnsi="Times New Roman"/>
      <w:sz w:val="20"/>
      <w:lang w:val="en-GB"/>
    </w:rPr>
  </w:style>
  <w:style w:type="paragraph" w:customStyle="1" w:styleId="TAL">
    <w:name w:val="TAL"/>
    <w:basedOn w:val="Normal"/>
    <w:link w:val="TALCar"/>
    <w:qFormat/>
    <w:rsid w:val="00CA519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character" w:customStyle="1" w:styleId="TALCar">
    <w:name w:val="TAL Car"/>
    <w:link w:val="TAL"/>
    <w:qFormat/>
    <w:rsid w:val="00CA519F"/>
    <w:rPr>
      <w:rFonts w:ascii="Arial" w:eastAsia="Times New Roman" w:hAnsi="Arial" w:cs="Times New Roman"/>
      <w:sz w:val="18"/>
      <w:szCs w:val="20"/>
      <w:lang w:val="en-GB" w:eastAsia="ja-JP"/>
    </w:rPr>
  </w:style>
  <w:style w:type="character" w:styleId="Mention">
    <w:name w:val="Mention"/>
    <w:basedOn w:val="DefaultParagraphFont"/>
    <w:uiPriority w:val="99"/>
    <w:unhideWhenUsed/>
    <w:rsid w:val="00C73B0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2742">
      <w:bodyDiv w:val="1"/>
      <w:marLeft w:val="0"/>
      <w:marRight w:val="0"/>
      <w:marTop w:val="0"/>
      <w:marBottom w:val="0"/>
      <w:divBdr>
        <w:top w:val="none" w:sz="0" w:space="0" w:color="auto"/>
        <w:left w:val="none" w:sz="0" w:space="0" w:color="auto"/>
        <w:bottom w:val="none" w:sz="0" w:space="0" w:color="auto"/>
        <w:right w:val="none" w:sz="0" w:space="0" w:color="auto"/>
      </w:divBdr>
    </w:div>
    <w:div w:id="406920920">
      <w:bodyDiv w:val="1"/>
      <w:marLeft w:val="0"/>
      <w:marRight w:val="0"/>
      <w:marTop w:val="0"/>
      <w:marBottom w:val="0"/>
      <w:divBdr>
        <w:top w:val="none" w:sz="0" w:space="0" w:color="auto"/>
        <w:left w:val="none" w:sz="0" w:space="0" w:color="auto"/>
        <w:bottom w:val="none" w:sz="0" w:space="0" w:color="auto"/>
        <w:right w:val="none" w:sz="0" w:space="0" w:color="auto"/>
      </w:divBdr>
    </w:div>
    <w:div w:id="798688478">
      <w:bodyDiv w:val="1"/>
      <w:marLeft w:val="0"/>
      <w:marRight w:val="0"/>
      <w:marTop w:val="0"/>
      <w:marBottom w:val="0"/>
      <w:divBdr>
        <w:top w:val="none" w:sz="0" w:space="0" w:color="auto"/>
        <w:left w:val="none" w:sz="0" w:space="0" w:color="auto"/>
        <w:bottom w:val="none" w:sz="0" w:space="0" w:color="auto"/>
        <w:right w:val="none" w:sz="0" w:space="0" w:color="auto"/>
      </w:divBdr>
    </w:div>
    <w:div w:id="1088691371">
      <w:bodyDiv w:val="1"/>
      <w:marLeft w:val="0"/>
      <w:marRight w:val="0"/>
      <w:marTop w:val="0"/>
      <w:marBottom w:val="0"/>
      <w:divBdr>
        <w:top w:val="none" w:sz="0" w:space="0" w:color="auto"/>
        <w:left w:val="none" w:sz="0" w:space="0" w:color="auto"/>
        <w:bottom w:val="none" w:sz="0" w:space="0" w:color="auto"/>
        <w:right w:val="none" w:sz="0" w:space="0" w:color="auto"/>
      </w:divBdr>
    </w:div>
    <w:div w:id="1334911416">
      <w:bodyDiv w:val="1"/>
      <w:marLeft w:val="0"/>
      <w:marRight w:val="0"/>
      <w:marTop w:val="0"/>
      <w:marBottom w:val="0"/>
      <w:divBdr>
        <w:top w:val="none" w:sz="0" w:space="0" w:color="auto"/>
        <w:left w:val="none" w:sz="0" w:space="0" w:color="auto"/>
        <w:bottom w:val="none" w:sz="0" w:space="0" w:color="auto"/>
        <w:right w:val="none" w:sz="0" w:space="0" w:color="auto"/>
      </w:divBdr>
    </w:div>
    <w:div w:id="1508978193">
      <w:bodyDiv w:val="1"/>
      <w:marLeft w:val="0"/>
      <w:marRight w:val="0"/>
      <w:marTop w:val="0"/>
      <w:marBottom w:val="0"/>
      <w:divBdr>
        <w:top w:val="none" w:sz="0" w:space="0" w:color="auto"/>
        <w:left w:val="none" w:sz="0" w:space="0" w:color="auto"/>
        <w:bottom w:val="none" w:sz="0" w:space="0" w:color="auto"/>
        <w:right w:val="none" w:sz="0" w:space="0" w:color="auto"/>
      </w:divBdr>
    </w:div>
    <w:div w:id="1600945804">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83672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1534</Words>
  <Characters>8746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2024-11-08T22:28:00Z</dcterms:created>
  <dcterms:modified xsi:type="dcterms:W3CDTF">2024-11-08T22:31:00Z</dcterms:modified>
</cp:coreProperties>
</file>